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6AC6" w14:textId="77777777" w:rsidR="00720F6F" w:rsidRDefault="00720F6F" w:rsidP="00720F6F">
      <w:pPr>
        <w:pStyle w:val="Textoindependiente"/>
        <w:ind w:left="291"/>
        <w:jc w:val="center"/>
        <w:rPr>
          <w:rFonts w:ascii="Times New Roman"/>
          <w:sz w:val="20"/>
        </w:rPr>
      </w:pPr>
      <w:r>
        <w:rPr>
          <w:noProof/>
        </w:rPr>
        <w:drawing>
          <wp:inline distT="0" distB="0" distL="0" distR="0" wp14:anchorId="3FFA14FB" wp14:editId="7803C5F6">
            <wp:extent cx="5400040" cy="1696720"/>
            <wp:effectExtent l="0" t="0" r="0" b="0"/>
            <wp:docPr id="2133896220"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96220" name="Imagen 1" descr="Forma&#10;&#10;El contenido generado por IA puede ser incorrec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0632DC50" w14:textId="77777777" w:rsidR="00720F6F" w:rsidRDefault="00720F6F" w:rsidP="00720F6F">
      <w:pPr>
        <w:pStyle w:val="Textoindependiente"/>
        <w:ind w:left="0"/>
        <w:jc w:val="left"/>
        <w:rPr>
          <w:rFonts w:ascii="Times New Roman"/>
          <w:sz w:val="24"/>
        </w:rPr>
      </w:pPr>
    </w:p>
    <w:p w14:paraId="683AAD3F" w14:textId="77777777" w:rsidR="00720F6F" w:rsidRDefault="00720F6F" w:rsidP="00720F6F">
      <w:pPr>
        <w:pStyle w:val="Textoindependiente"/>
        <w:spacing w:before="178"/>
        <w:ind w:left="0"/>
        <w:jc w:val="left"/>
        <w:rPr>
          <w:rFonts w:ascii="Times New Roman"/>
          <w:sz w:val="24"/>
        </w:rPr>
      </w:pPr>
    </w:p>
    <w:p w14:paraId="2E152EF7" w14:textId="77777777" w:rsidR="00720F6F" w:rsidRDefault="00720F6F" w:rsidP="00720F6F">
      <w:pPr>
        <w:ind w:left="53" w:right="412" w:firstLine="1"/>
        <w:jc w:val="center"/>
        <w:rPr>
          <w:b/>
        </w:rPr>
      </w:pPr>
      <w:r>
        <w:rPr>
          <w:b/>
        </w:rPr>
        <w:t>El presente artículo ha sido aprobado para su publicación, luego de surtir</w:t>
      </w:r>
      <w:r>
        <w:rPr>
          <w:b/>
          <w:spacing w:val="-4"/>
        </w:rPr>
        <w:t xml:space="preserve"> </w:t>
      </w:r>
      <w:r>
        <w:rPr>
          <w:b/>
        </w:rPr>
        <w:t>la</w:t>
      </w:r>
      <w:r>
        <w:rPr>
          <w:b/>
          <w:spacing w:val="-5"/>
        </w:rPr>
        <w:t xml:space="preserve"> </w:t>
      </w:r>
      <w:r>
        <w:rPr>
          <w:b/>
        </w:rPr>
        <w:t>revisión</w:t>
      </w:r>
      <w:r>
        <w:rPr>
          <w:b/>
          <w:spacing w:val="-3"/>
        </w:rPr>
        <w:t xml:space="preserve"> </w:t>
      </w:r>
      <w:r>
        <w:rPr>
          <w:b/>
        </w:rPr>
        <w:t>por</w:t>
      </w:r>
      <w:r>
        <w:rPr>
          <w:b/>
          <w:spacing w:val="-4"/>
        </w:rPr>
        <w:t xml:space="preserve"> </w:t>
      </w:r>
      <w:r>
        <w:rPr>
          <w:b/>
        </w:rPr>
        <w:t>pares.</w:t>
      </w:r>
      <w:r>
        <w:rPr>
          <w:b/>
          <w:spacing w:val="-5"/>
        </w:rPr>
        <w:t xml:space="preserve"> </w:t>
      </w:r>
      <w:r>
        <w:rPr>
          <w:b/>
        </w:rPr>
        <w:t>Actualmente</w:t>
      </w:r>
      <w:r>
        <w:rPr>
          <w:b/>
          <w:spacing w:val="-5"/>
        </w:rPr>
        <w:t xml:space="preserve"> </w:t>
      </w:r>
      <w:r>
        <w:rPr>
          <w:b/>
        </w:rPr>
        <w:t>se</w:t>
      </w:r>
      <w:r>
        <w:rPr>
          <w:b/>
          <w:spacing w:val="-3"/>
        </w:rPr>
        <w:t xml:space="preserve"> </w:t>
      </w:r>
      <w:r>
        <w:rPr>
          <w:b/>
        </w:rPr>
        <w:t>encuentra</w:t>
      </w:r>
      <w:r>
        <w:rPr>
          <w:b/>
          <w:spacing w:val="-3"/>
        </w:rPr>
        <w:t xml:space="preserve"> </w:t>
      </w:r>
      <w:r>
        <w:rPr>
          <w:b/>
        </w:rPr>
        <w:t>en</w:t>
      </w:r>
      <w:r>
        <w:rPr>
          <w:b/>
          <w:spacing w:val="-5"/>
        </w:rPr>
        <w:t xml:space="preserve"> </w:t>
      </w:r>
      <w:r>
        <w:rPr>
          <w:b/>
        </w:rPr>
        <w:t>proceso</w:t>
      </w:r>
      <w:r>
        <w:rPr>
          <w:b/>
          <w:spacing w:val="-4"/>
        </w:rPr>
        <w:t xml:space="preserve"> </w:t>
      </w:r>
      <w:r>
        <w:rPr>
          <w:b/>
        </w:rPr>
        <w:t xml:space="preserve">de </w:t>
      </w:r>
      <w:r>
        <w:rPr>
          <w:b/>
          <w:spacing w:val="-2"/>
        </w:rPr>
        <w:t>diagramación.</w:t>
      </w:r>
    </w:p>
    <w:p w14:paraId="7DB794D7" w14:textId="77777777" w:rsidR="00720F6F" w:rsidRDefault="00720F6F" w:rsidP="00720F6F">
      <w:pPr>
        <w:pStyle w:val="Textoindependiente"/>
        <w:ind w:left="0"/>
        <w:jc w:val="left"/>
        <w:rPr>
          <w:b/>
          <w:sz w:val="20"/>
        </w:rPr>
      </w:pPr>
    </w:p>
    <w:p w14:paraId="06D5F784" w14:textId="77777777" w:rsidR="00720F6F" w:rsidRDefault="00720F6F" w:rsidP="00720F6F">
      <w:pPr>
        <w:pStyle w:val="Textoindependiente"/>
        <w:spacing w:before="161"/>
        <w:ind w:left="0"/>
        <w:jc w:val="left"/>
        <w:rPr>
          <w:b/>
          <w:sz w:val="20"/>
        </w:rPr>
      </w:pPr>
    </w:p>
    <w:p w14:paraId="59853CB9" w14:textId="77777777" w:rsidR="00720F6F" w:rsidRDefault="00720F6F" w:rsidP="00720F6F">
      <w:pPr>
        <w:pStyle w:val="Textoindependiente"/>
        <w:ind w:left="0"/>
        <w:jc w:val="center"/>
        <w:rPr>
          <w:b/>
          <w:sz w:val="24"/>
        </w:rPr>
      </w:pPr>
      <w:r>
        <w:rPr>
          <w:noProof/>
        </w:rPr>
        <w:drawing>
          <wp:inline distT="0" distB="0" distL="0" distR="0" wp14:anchorId="43CE53F8" wp14:editId="5D78369F">
            <wp:extent cx="5400040" cy="1696720"/>
            <wp:effectExtent l="0" t="0" r="0" b="0"/>
            <wp:docPr id="1886652957"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52957" name="Imagen 2" descr="Forma&#10;&#10;El contenido generado por IA puede ser incorrec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677760C4" w14:textId="77777777" w:rsidR="00720F6F" w:rsidRDefault="00720F6F" w:rsidP="00720F6F">
      <w:pPr>
        <w:pStyle w:val="Textoindependiente"/>
        <w:spacing w:before="168"/>
        <w:ind w:left="0"/>
        <w:jc w:val="left"/>
        <w:rPr>
          <w:b/>
          <w:sz w:val="24"/>
        </w:rPr>
      </w:pPr>
    </w:p>
    <w:p w14:paraId="69C83E0E" w14:textId="77777777" w:rsidR="00720F6F" w:rsidRDefault="00720F6F" w:rsidP="00720F6F">
      <w:pPr>
        <w:ind w:right="357"/>
        <w:jc w:val="center"/>
        <w:rPr>
          <w:b/>
        </w:rPr>
      </w:pPr>
      <w:bookmarkStart w:id="0" w:name="_Hlk201764892"/>
      <w:r>
        <w:rPr>
          <w:b/>
        </w:rPr>
        <w:t>Recibido:</w:t>
      </w:r>
      <w:r>
        <w:rPr>
          <w:b/>
          <w:spacing w:val="-7"/>
        </w:rPr>
        <w:t xml:space="preserve"> </w:t>
      </w:r>
    </w:p>
    <w:p w14:paraId="42018CC8" w14:textId="77777777" w:rsidR="00720F6F" w:rsidRDefault="00720F6F" w:rsidP="00720F6F">
      <w:pPr>
        <w:spacing w:before="30"/>
        <w:ind w:right="357"/>
        <w:jc w:val="center"/>
        <w:rPr>
          <w:b/>
        </w:rPr>
      </w:pPr>
      <w:r>
        <w:rPr>
          <w:b/>
        </w:rPr>
        <w:t>Aceptado:</w:t>
      </w:r>
    </w:p>
    <w:p w14:paraId="5082AB7F" w14:textId="77777777" w:rsidR="00720F6F" w:rsidRPr="00F766EA" w:rsidRDefault="00720F6F" w:rsidP="00720F6F">
      <w:pPr>
        <w:spacing w:before="30" w:after="280" w:line="360" w:lineRule="auto"/>
        <w:ind w:left="2" w:right="357"/>
        <w:jc w:val="center"/>
        <w:rPr>
          <w:b/>
        </w:rPr>
      </w:pPr>
      <w:r>
        <w:rPr>
          <w:b/>
        </w:rPr>
        <w:t>Publicado:</w:t>
      </w:r>
      <w:r>
        <w:rPr>
          <w:b/>
          <w:spacing w:val="-7"/>
        </w:rPr>
        <w:t xml:space="preserve"> </w:t>
      </w:r>
      <w:bookmarkEnd w:id="0"/>
    </w:p>
    <w:p w14:paraId="34DAA4A0" w14:textId="25667801" w:rsidR="00720F6F" w:rsidRDefault="0043067F" w:rsidP="0043067F">
      <w:pPr>
        <w:spacing w:line="360" w:lineRule="auto"/>
        <w:jc w:val="center"/>
        <w:rPr>
          <w:b/>
          <w:bCs/>
        </w:rPr>
      </w:pPr>
      <w:r w:rsidRPr="0043067F">
        <w:rPr>
          <w:b/>
          <w:bCs/>
          <w:highlight w:val="yellow"/>
        </w:rPr>
        <w:t>10.52143/2346139X.1073</w:t>
      </w:r>
    </w:p>
    <w:p w14:paraId="5ACC665D" w14:textId="3FDA4D77" w:rsidR="00626398" w:rsidRPr="009B1EE4" w:rsidRDefault="00626398" w:rsidP="00E776F7">
      <w:pPr>
        <w:spacing w:line="360" w:lineRule="auto"/>
        <w:rPr>
          <w:rFonts w:cs="Times New Roman"/>
        </w:rPr>
      </w:pPr>
      <w:r w:rsidRPr="009B1EE4">
        <w:rPr>
          <w:b/>
          <w:bCs/>
        </w:rPr>
        <w:t>Ética y mitigación de sesgos en sistemas de IA: Tendencias técnicas y regulatorias</w:t>
      </w:r>
    </w:p>
    <w:p w14:paraId="028F34FB" w14:textId="7B0C89F0" w:rsidR="00111D84" w:rsidRPr="00720F6F" w:rsidRDefault="003E3897" w:rsidP="00E776F7">
      <w:pPr>
        <w:spacing w:line="360" w:lineRule="auto"/>
        <w:rPr>
          <w:b/>
          <w:bCs/>
          <w:i/>
          <w:iCs/>
          <w:lang w:val="en-US"/>
        </w:rPr>
      </w:pPr>
      <w:r w:rsidRPr="00720F6F">
        <w:rPr>
          <w:b/>
          <w:bCs/>
          <w:i/>
          <w:iCs/>
          <w:lang w:val="en-US"/>
        </w:rPr>
        <w:t>Ethics and bias mitigation in AI systems: Technical and regulatory trends</w:t>
      </w:r>
    </w:p>
    <w:p w14:paraId="2B8FED80" w14:textId="77777777" w:rsidR="003E3897" w:rsidRPr="00720F6F" w:rsidRDefault="003E3897" w:rsidP="00E776F7">
      <w:pPr>
        <w:spacing w:line="360" w:lineRule="auto"/>
        <w:rPr>
          <w:lang w:val="en-US"/>
        </w:rPr>
      </w:pPr>
    </w:p>
    <w:p w14:paraId="406FFF62" w14:textId="7F64CDB0" w:rsidR="00626398" w:rsidRPr="009B1EE4" w:rsidRDefault="00626398" w:rsidP="00720F6F">
      <w:pPr>
        <w:spacing w:line="360" w:lineRule="auto"/>
        <w:jc w:val="center"/>
      </w:pPr>
      <w:r w:rsidRPr="009B1EE4">
        <w:rPr>
          <w:b/>
          <w:bCs/>
        </w:rPr>
        <w:t>Resumen</w:t>
      </w:r>
      <w:r w:rsidR="003764EB">
        <w:rPr>
          <w:rFonts w:cs="Times New Roman"/>
          <w:b/>
          <w:bCs/>
          <w:color w:val="000000" w:themeColor="text1"/>
          <w:szCs w:val="24"/>
        </w:rPr>
        <w:t xml:space="preserve"> [T1]</w:t>
      </w:r>
    </w:p>
    <w:p w14:paraId="23A5295F" w14:textId="2DE5D810" w:rsidR="00626398" w:rsidRPr="009B1EE4" w:rsidRDefault="00626398" w:rsidP="00E776F7">
      <w:pPr>
        <w:spacing w:line="360" w:lineRule="auto"/>
      </w:pPr>
      <w:r w:rsidRPr="009B1EE4">
        <w:t>El presente artículo</w:t>
      </w:r>
      <w:r w:rsidR="003764EB">
        <w:t xml:space="preserve"> presenta un análisis crítico de</w:t>
      </w:r>
      <w:r w:rsidRPr="009B1EE4">
        <w:t xml:space="preserve"> las estrategias técnicas y regulatorias para mitigar sesgos en sistemas de inteligencia artificial (IA), un desafío urgente dado el impacto </w:t>
      </w:r>
      <w:r w:rsidRPr="009B1EE4">
        <w:lastRenderedPageBreak/>
        <w:t xml:space="preserve">social de estas tecnologías. Mediante una revisión documental de artículos en </w:t>
      </w:r>
      <w:proofErr w:type="spellStart"/>
      <w:r w:rsidRPr="009B1EE4">
        <w:t>Scopus</w:t>
      </w:r>
      <w:proofErr w:type="spellEnd"/>
      <w:r w:rsidRPr="009B1EE4">
        <w:t xml:space="preserve"> (2018–2022)</w:t>
      </w:r>
      <w:r w:rsidR="003764EB">
        <w:t>, publicados</w:t>
      </w:r>
      <w:r w:rsidRPr="009B1EE4">
        <w:t xml:space="preserve"> en español e inglés, se identificaron cuatro ejes temáticos: técnicas de detección de sesgos, métodos de mitigación (rebalanceo de datos, </w:t>
      </w:r>
      <w:r w:rsidR="000A523E">
        <w:t>corrección de sesgos mediante modelos adversarios [</w:t>
      </w:r>
      <w:r w:rsidRPr="009B1EE4">
        <w:rPr>
          <w:i/>
          <w:iCs/>
        </w:rPr>
        <w:t xml:space="preserve">adversarial </w:t>
      </w:r>
      <w:proofErr w:type="spellStart"/>
      <w:r w:rsidRPr="009B1EE4">
        <w:rPr>
          <w:i/>
          <w:iCs/>
        </w:rPr>
        <w:t>debiasing</w:t>
      </w:r>
      <w:proofErr w:type="spellEnd"/>
      <w:r w:rsidR="000A523E" w:rsidRPr="00720F6F">
        <w:t>]</w:t>
      </w:r>
      <w:r w:rsidRPr="009B1EE4">
        <w:t>),</w:t>
      </w:r>
      <w:r w:rsidR="00844A00" w:rsidRPr="009B1EE4">
        <w:t xml:space="preserve"> </w:t>
      </w:r>
      <w:r w:rsidRPr="009B1EE4">
        <w:t>marcos regulatorios internacionales (UE, EE.</w:t>
      </w:r>
      <w:r w:rsidR="003764EB">
        <w:t> </w:t>
      </w:r>
      <w:r w:rsidRPr="009B1EE4">
        <w:t>UU., OCD</w:t>
      </w:r>
      <w:r w:rsidR="002D1BFD">
        <w:t>E</w:t>
      </w:r>
      <w:r w:rsidRPr="009B1EE4">
        <w:t>), y desafíos en implementación real (</w:t>
      </w:r>
      <w:r w:rsidR="005B7685">
        <w:t xml:space="preserve">compensaciones </w:t>
      </w:r>
      <w:r w:rsidRPr="009B1EE4">
        <w:t>entre equidad y rendimiento). Los resultados revelan que, pese a avances en algoritmos</w:t>
      </w:r>
      <w:r w:rsidR="005B7685">
        <w:t xml:space="preserve"> que incorporan criterios de equidad (</w:t>
      </w:r>
      <w:proofErr w:type="spellStart"/>
      <w:r w:rsidRPr="009B1EE4">
        <w:rPr>
          <w:i/>
          <w:iCs/>
        </w:rPr>
        <w:t>fairness-aware</w:t>
      </w:r>
      <w:proofErr w:type="spellEnd"/>
      <w:r w:rsidR="005B7685">
        <w:t>)</w:t>
      </w:r>
      <w:r w:rsidRPr="009B1EE4">
        <w:t>, persisten brechas entre teoría y práctica, especialmente en contextos industriales. Se concluye que la ética en IA requiere enfoques multidisciplinares que integren soluciones técnicas con gobernanza adaptable, participación comunitaria y auditorías continuas.</w:t>
      </w:r>
    </w:p>
    <w:p w14:paraId="1230E207" w14:textId="659E9C27" w:rsidR="00626398" w:rsidRPr="009B1EE4" w:rsidRDefault="00626398" w:rsidP="00E776F7">
      <w:pPr>
        <w:spacing w:line="360" w:lineRule="auto"/>
      </w:pPr>
      <w:r w:rsidRPr="009B1EE4">
        <w:rPr>
          <w:b/>
          <w:bCs/>
        </w:rPr>
        <w:t xml:space="preserve">Palabras clave: </w:t>
      </w:r>
      <w:r w:rsidRPr="00720F6F">
        <w:t>Sesgos algorítmicos, IA ética</w:t>
      </w:r>
      <w:r w:rsidRPr="009B1EE4">
        <w:rPr>
          <w:i/>
          <w:iCs/>
        </w:rPr>
        <w:t xml:space="preserve">, </w:t>
      </w:r>
      <w:proofErr w:type="spellStart"/>
      <w:r w:rsidRPr="009B1EE4">
        <w:rPr>
          <w:i/>
          <w:iCs/>
        </w:rPr>
        <w:t>fairness</w:t>
      </w:r>
      <w:proofErr w:type="spellEnd"/>
      <w:r w:rsidRPr="009B1EE4">
        <w:rPr>
          <w:i/>
          <w:iCs/>
        </w:rPr>
        <w:t xml:space="preserve">, </w:t>
      </w:r>
      <w:r w:rsidRPr="00720F6F">
        <w:t>regulación de IA</w:t>
      </w:r>
      <w:r w:rsidRPr="009B1EE4">
        <w:rPr>
          <w:i/>
          <w:iCs/>
        </w:rPr>
        <w:t xml:space="preserve">, </w:t>
      </w:r>
      <w:proofErr w:type="spellStart"/>
      <w:r w:rsidRPr="009B1EE4">
        <w:rPr>
          <w:i/>
          <w:iCs/>
        </w:rPr>
        <w:t>accountability</w:t>
      </w:r>
      <w:proofErr w:type="spellEnd"/>
      <w:r w:rsidRPr="009B1EE4">
        <w:rPr>
          <w:i/>
          <w:iCs/>
        </w:rPr>
        <w:t xml:space="preserve"> </w:t>
      </w:r>
      <w:r w:rsidRPr="009B1EE4">
        <w:t xml:space="preserve"> </w:t>
      </w:r>
    </w:p>
    <w:p w14:paraId="46C238F5" w14:textId="77777777" w:rsidR="003764EB" w:rsidRDefault="00844A00" w:rsidP="00720F6F">
      <w:pPr>
        <w:spacing w:line="360" w:lineRule="auto"/>
        <w:jc w:val="center"/>
        <w:rPr>
          <w:rFonts w:cs="Times New Roman"/>
          <w:b/>
          <w:bCs/>
          <w:color w:val="000000" w:themeColor="text1"/>
          <w:szCs w:val="24"/>
          <w:lang w:val="en-US"/>
        </w:rPr>
      </w:pPr>
      <w:r w:rsidRPr="00720F6F">
        <w:rPr>
          <w:b/>
          <w:bCs/>
          <w:i/>
          <w:iCs/>
          <w:lang w:val="en-US"/>
        </w:rPr>
        <w:t>Abstract</w:t>
      </w:r>
      <w:r w:rsidR="003764EB" w:rsidRPr="00720F6F">
        <w:rPr>
          <w:rFonts w:cs="Times New Roman"/>
          <w:b/>
          <w:bCs/>
          <w:color w:val="000000" w:themeColor="text1"/>
          <w:szCs w:val="24"/>
          <w:lang w:val="en-US"/>
        </w:rPr>
        <w:t xml:space="preserve"> [T1]</w:t>
      </w:r>
    </w:p>
    <w:p w14:paraId="33209DB6" w14:textId="10D962CE" w:rsidR="00844A00" w:rsidRPr="00720F6F" w:rsidRDefault="00844A00" w:rsidP="003764EB">
      <w:pPr>
        <w:spacing w:line="360" w:lineRule="auto"/>
        <w:rPr>
          <w:i/>
          <w:iCs/>
          <w:lang w:val="en-US"/>
        </w:rPr>
      </w:pPr>
      <w:proofErr w:type="spellStart"/>
      <w:r w:rsidRPr="00720F6F">
        <w:rPr>
          <w:i/>
          <w:iCs/>
        </w:rPr>
        <w:t>This</w:t>
      </w:r>
      <w:proofErr w:type="spellEnd"/>
      <w:r w:rsidRPr="00720F6F">
        <w:rPr>
          <w:i/>
          <w:iCs/>
        </w:rPr>
        <w:t xml:space="preserve"> </w:t>
      </w:r>
      <w:proofErr w:type="spellStart"/>
      <w:r w:rsidRPr="00720F6F">
        <w:rPr>
          <w:i/>
          <w:iCs/>
        </w:rPr>
        <w:t>article</w:t>
      </w:r>
      <w:proofErr w:type="spellEnd"/>
      <w:r w:rsidRPr="00720F6F">
        <w:rPr>
          <w:i/>
          <w:iCs/>
        </w:rPr>
        <w:t xml:space="preserve"> </w:t>
      </w:r>
      <w:proofErr w:type="spellStart"/>
      <w:r w:rsidRPr="00720F6F">
        <w:rPr>
          <w:i/>
          <w:iCs/>
        </w:rPr>
        <w:t>critically</w:t>
      </w:r>
      <w:proofErr w:type="spellEnd"/>
      <w:r w:rsidRPr="00720F6F">
        <w:rPr>
          <w:i/>
          <w:iCs/>
        </w:rPr>
        <w:t xml:space="preserve"> </w:t>
      </w:r>
      <w:proofErr w:type="spellStart"/>
      <w:r w:rsidRPr="00720F6F">
        <w:rPr>
          <w:i/>
          <w:iCs/>
        </w:rPr>
        <w:t>analyzes</w:t>
      </w:r>
      <w:proofErr w:type="spellEnd"/>
      <w:r w:rsidRPr="00720F6F">
        <w:rPr>
          <w:i/>
          <w:iCs/>
        </w:rPr>
        <w:t xml:space="preserve"> technical and regulatory strategies to mitigate biases in artificial intelligence (AI) systems, an urgent challenge given the social impact of these technologies. </w:t>
      </w:r>
      <w:r w:rsidRPr="00720F6F">
        <w:rPr>
          <w:i/>
          <w:iCs/>
          <w:lang w:val="en-US"/>
        </w:rPr>
        <w:t>Through a documentary review of articles in Scopus (2018–2022) in Spanish and English, four thematic axes were identified: bias detection techniques, mitigation methods (data rebalancing, adversarial debiasing), international regulatory frameworks (EU, U.S., OECD), and challenges in real-world implementation (trade-offs between equity and performance). The results reveal that, despite advances in fairness-aware algorithms, gaps persist between theory and practice, especially in industrial contexts. It is concluded that ethics in AI requires multidisciplinary approaches that integrate technical solutions with adaptable governance, community participation, and continuous audits.</w:t>
      </w:r>
    </w:p>
    <w:p w14:paraId="15B9921D" w14:textId="74567057" w:rsidR="00844A00" w:rsidRPr="00720F6F" w:rsidRDefault="00844A00" w:rsidP="003764EB">
      <w:pPr>
        <w:spacing w:line="360" w:lineRule="auto"/>
        <w:rPr>
          <w:i/>
          <w:iCs/>
          <w:lang w:val="en-US"/>
        </w:rPr>
      </w:pPr>
      <w:r w:rsidRPr="00720F6F">
        <w:rPr>
          <w:b/>
          <w:bCs/>
          <w:i/>
          <w:iCs/>
          <w:lang w:val="en-US"/>
        </w:rPr>
        <w:t xml:space="preserve">Keywords: </w:t>
      </w:r>
      <w:r w:rsidRPr="00720F6F">
        <w:rPr>
          <w:i/>
          <w:iCs/>
          <w:lang w:val="en-US"/>
        </w:rPr>
        <w:t>Algorithmic biases, ethical AI, fairness, AI regulation, accountability.</w:t>
      </w:r>
    </w:p>
    <w:p w14:paraId="097E26FD" w14:textId="77777777" w:rsidR="003764EB" w:rsidRDefault="003764EB" w:rsidP="00E776F7">
      <w:pPr>
        <w:spacing w:line="360" w:lineRule="auto"/>
        <w:rPr>
          <w:b/>
          <w:bCs/>
        </w:rPr>
      </w:pPr>
    </w:p>
    <w:p w14:paraId="29288943" w14:textId="2059668F" w:rsidR="00626398" w:rsidRPr="009B1EE4" w:rsidRDefault="00626398" w:rsidP="00720F6F">
      <w:pPr>
        <w:spacing w:line="360" w:lineRule="auto"/>
        <w:jc w:val="center"/>
      </w:pPr>
      <w:r w:rsidRPr="009B1EE4">
        <w:rPr>
          <w:b/>
          <w:bCs/>
        </w:rPr>
        <w:t>Introducción</w:t>
      </w:r>
      <w:r w:rsidR="00B86087">
        <w:rPr>
          <w:b/>
          <w:bCs/>
        </w:rPr>
        <w:t xml:space="preserve"> [T1]</w:t>
      </w:r>
    </w:p>
    <w:p w14:paraId="132689A3" w14:textId="49FF4F72" w:rsidR="00626398" w:rsidRPr="009B1EE4" w:rsidRDefault="00626398" w:rsidP="00E776F7">
      <w:pPr>
        <w:spacing w:line="360" w:lineRule="auto"/>
      </w:pPr>
      <w:r w:rsidRPr="009B1EE4">
        <w:t>Los sistemas de inteligencia artificial han demostrado un potencial transformador en diversos ámbitos sociales, pero su creciente adopción ha revelado un desafío crítico</w:t>
      </w:r>
      <w:r w:rsidR="00C40389" w:rsidRPr="009B1EE4">
        <w:t>,</w:t>
      </w:r>
      <w:r w:rsidR="003764EB">
        <w:t xml:space="preserve"> así como</w:t>
      </w:r>
      <w:r w:rsidR="00C40389" w:rsidRPr="009B1EE4">
        <w:t xml:space="preserve"> l</w:t>
      </w:r>
      <w:r w:rsidRPr="009B1EE4">
        <w:t>a perpetuación y amplificación de sesgos discriminatorios</w:t>
      </w:r>
      <w:r w:rsidR="00C40389" w:rsidRPr="009B1EE4">
        <w:t xml:space="preserve"> (</w:t>
      </w:r>
      <w:r w:rsidR="003E3897" w:rsidRPr="009B1EE4">
        <w:t xml:space="preserve">Kelly et al., 2019; </w:t>
      </w:r>
      <w:proofErr w:type="spellStart"/>
      <w:r w:rsidR="003E3897" w:rsidRPr="009B1EE4">
        <w:t>Ntoutsi</w:t>
      </w:r>
      <w:proofErr w:type="spellEnd"/>
      <w:r w:rsidR="003E3897" w:rsidRPr="009B1EE4">
        <w:t xml:space="preserve"> et al., 2020</w:t>
      </w:r>
      <w:r w:rsidR="00C40389" w:rsidRPr="009B1EE4">
        <w:t>)</w:t>
      </w:r>
      <w:r w:rsidRPr="009B1EE4">
        <w:t>. Estudios emblemáticos</w:t>
      </w:r>
      <w:r w:rsidR="003764EB">
        <w:t>,</w:t>
      </w:r>
      <w:r w:rsidRPr="009B1EE4">
        <w:t xml:space="preserve"> como el de </w:t>
      </w:r>
      <w:r w:rsidR="003E3897" w:rsidRPr="009B1EE4">
        <w:t>Peters (2022)</w:t>
      </w:r>
      <w:r w:rsidR="003764EB">
        <w:t>,</w:t>
      </w:r>
      <w:r w:rsidRPr="009B1EE4">
        <w:t xml:space="preserve"> expusieron cómo sistemas de reconocimiento facial mostraban significativamente menor precisión para mujeres y personas de piel oscura, </w:t>
      </w:r>
      <w:r w:rsidR="00C40389" w:rsidRPr="009B1EE4">
        <w:t xml:space="preserve">al </w:t>
      </w:r>
      <w:r w:rsidRPr="009B1EE4">
        <w:t>evidencia</w:t>
      </w:r>
      <w:r w:rsidR="00C40389" w:rsidRPr="009B1EE4">
        <w:t>r</w:t>
      </w:r>
      <w:r w:rsidRPr="009B1EE4">
        <w:t xml:space="preserve"> que los sesgos humanos pueden codificarse en algoritmos</w:t>
      </w:r>
      <w:r w:rsidR="00C40389" w:rsidRPr="009B1EE4">
        <w:t xml:space="preserve"> (</w:t>
      </w:r>
      <w:proofErr w:type="spellStart"/>
      <w:r w:rsidR="003E3897" w:rsidRPr="009B1EE4">
        <w:t>Mehrabi</w:t>
      </w:r>
      <w:proofErr w:type="spellEnd"/>
      <w:r w:rsidR="003E3897" w:rsidRPr="009B1EE4">
        <w:t xml:space="preserve"> et al., 2019</w:t>
      </w:r>
      <w:r w:rsidR="003764EB">
        <w:t xml:space="preserve">; </w:t>
      </w:r>
      <w:proofErr w:type="spellStart"/>
      <w:r w:rsidR="003764EB" w:rsidRPr="009B1EE4">
        <w:t>Busuioc</w:t>
      </w:r>
      <w:proofErr w:type="spellEnd"/>
      <w:r w:rsidR="003764EB" w:rsidRPr="009B1EE4">
        <w:t>, 2020</w:t>
      </w:r>
      <w:r w:rsidR="00C40389" w:rsidRPr="009B1EE4">
        <w:t>)</w:t>
      </w:r>
      <w:r w:rsidRPr="009B1EE4">
        <w:t>.</w:t>
      </w:r>
    </w:p>
    <w:p w14:paraId="487AF1D4" w14:textId="13CC368E" w:rsidR="00626398" w:rsidRPr="009B1EE4" w:rsidRDefault="00626398" w:rsidP="00E776F7">
      <w:pPr>
        <w:spacing w:line="360" w:lineRule="auto"/>
      </w:pPr>
      <w:r w:rsidRPr="009B1EE4">
        <w:lastRenderedPageBreak/>
        <w:t>Técnicamente, se identificaron múltiples fuentes de sesgo</w:t>
      </w:r>
      <w:r w:rsidR="00C40389" w:rsidRPr="009B1EE4">
        <w:t>,</w:t>
      </w:r>
      <w:r w:rsidRPr="009B1EE4">
        <w:t xml:space="preserve"> desde conjuntos de datos no representativos hasta diseños algorítmicos que priorizan métricas de rendimiento sobre equidad</w:t>
      </w:r>
      <w:r w:rsidR="00BE578E" w:rsidRPr="009B1EE4">
        <w:t xml:space="preserve"> (</w:t>
      </w:r>
      <w:bookmarkStart w:id="1" w:name="_Hlk198202238"/>
      <w:r w:rsidR="003764EB" w:rsidRPr="009B1EE4">
        <w:t>Pérez Gamboa et al., 2019</w:t>
      </w:r>
      <w:r w:rsidR="003764EB">
        <w:t xml:space="preserve">; </w:t>
      </w:r>
      <w:proofErr w:type="spellStart"/>
      <w:r w:rsidR="003879FB" w:rsidRPr="009B1EE4">
        <w:t>Akintola</w:t>
      </w:r>
      <w:proofErr w:type="spellEnd"/>
      <w:r w:rsidR="003879FB" w:rsidRPr="009B1EE4">
        <w:t xml:space="preserve"> et al., 2020</w:t>
      </w:r>
      <w:bookmarkEnd w:id="1"/>
      <w:r w:rsidR="00BE578E" w:rsidRPr="009B1EE4">
        <w:t>)</w:t>
      </w:r>
      <w:r w:rsidRPr="009B1EE4">
        <w:t xml:space="preserve">. Investigaciones como las de </w:t>
      </w:r>
      <w:proofErr w:type="spellStart"/>
      <w:r w:rsidR="001104FB" w:rsidRPr="009B1EE4">
        <w:t>Vaccari</w:t>
      </w:r>
      <w:proofErr w:type="spellEnd"/>
      <w:r w:rsidR="001104FB" w:rsidRPr="009B1EE4">
        <w:t xml:space="preserve"> </w:t>
      </w:r>
      <w:r w:rsidR="003764EB">
        <w:t>y</w:t>
      </w:r>
      <w:r w:rsidR="001104FB" w:rsidRPr="009B1EE4">
        <w:t xml:space="preserve"> </w:t>
      </w:r>
      <w:proofErr w:type="spellStart"/>
      <w:r w:rsidR="001104FB" w:rsidRPr="009B1EE4">
        <w:t>Gardinier</w:t>
      </w:r>
      <w:proofErr w:type="spellEnd"/>
      <w:r w:rsidR="001104FB" w:rsidRPr="009B1EE4">
        <w:t xml:space="preserve">, (2019) </w:t>
      </w:r>
      <w:r w:rsidRPr="009B1EE4">
        <w:t xml:space="preserve">categorizaron estos sesgos en tres niveles: datos, modelado </w:t>
      </w:r>
      <w:r w:rsidR="009B1EE4" w:rsidRPr="009B1EE4">
        <w:t>e</w:t>
      </w:r>
      <w:r w:rsidRPr="009B1EE4">
        <w:t xml:space="preserve"> implementac</w:t>
      </w:r>
      <w:r w:rsidR="00BE578E" w:rsidRPr="009B1EE4">
        <w:t>ión</w:t>
      </w:r>
      <w:r w:rsidRPr="009B1EE4">
        <w:t xml:space="preserve">. Como respuesta, surgieron herramientas </w:t>
      </w:r>
      <w:proofErr w:type="gramStart"/>
      <w:r w:rsidRPr="009B1EE4">
        <w:t>como  AI</w:t>
      </w:r>
      <w:proofErr w:type="gramEnd"/>
      <w:r w:rsidRPr="009B1EE4">
        <w:t xml:space="preserve"> </w:t>
      </w:r>
      <w:proofErr w:type="spellStart"/>
      <w:r w:rsidRPr="009B1EE4">
        <w:t>Fairness</w:t>
      </w:r>
      <w:proofErr w:type="spellEnd"/>
      <w:r w:rsidRPr="009B1EE4">
        <w:t xml:space="preserve"> 360</w:t>
      </w:r>
      <w:r w:rsidR="0012751E">
        <w:t xml:space="preserve"> de IBM</w:t>
      </w:r>
      <w:r w:rsidRPr="009B1EE4">
        <w:t xml:space="preserve"> </w:t>
      </w:r>
      <w:r w:rsidR="0012751E" w:rsidRPr="0012751E">
        <w:t>(biblioteca para evaluar la equidad algorítmica</w:t>
      </w:r>
      <w:r w:rsidR="0012751E">
        <w:t xml:space="preserve">) </w:t>
      </w:r>
      <w:r w:rsidRPr="009B1EE4">
        <w:t xml:space="preserve">y </w:t>
      </w:r>
      <w:proofErr w:type="spellStart"/>
      <w:r w:rsidRPr="009B1EE4">
        <w:t>What-If</w:t>
      </w:r>
      <w:proofErr w:type="spellEnd"/>
      <w:r w:rsidRPr="009B1EE4">
        <w:t xml:space="preserve"> Tool</w:t>
      </w:r>
      <w:r w:rsidR="0012751E">
        <w:t xml:space="preserve"> de Google </w:t>
      </w:r>
      <w:r w:rsidR="0012751E" w:rsidRPr="0012751E">
        <w:t>(herramienta interactiva para inspección visual de modelos)</w:t>
      </w:r>
      <w:r w:rsidRPr="009B1EE4">
        <w:t xml:space="preserve">, </w:t>
      </w:r>
      <w:r w:rsidR="00BE578E" w:rsidRPr="009B1EE4">
        <w:t xml:space="preserve">que </w:t>
      </w:r>
      <w:r w:rsidRPr="009B1EE4">
        <w:t>permitie</w:t>
      </w:r>
      <w:r w:rsidR="00BE578E" w:rsidRPr="009B1EE4">
        <w:t>ron</w:t>
      </w:r>
      <w:r w:rsidRPr="009B1EE4">
        <w:t xml:space="preserve"> cuantificar disparidades mediante métricas estadísticas (</w:t>
      </w:r>
      <w:r w:rsidR="00731B3D" w:rsidRPr="009B1EE4">
        <w:t>Wexler et al., 2019</w:t>
      </w:r>
      <w:r w:rsidR="0012751E">
        <w:t xml:space="preserve">; </w:t>
      </w:r>
      <w:r w:rsidR="0012751E" w:rsidRPr="009B1EE4">
        <w:t>Thompson, 2021</w:t>
      </w:r>
      <w:r w:rsidRPr="009B1EE4">
        <w:t>).</w:t>
      </w:r>
    </w:p>
    <w:p w14:paraId="2F9C3406" w14:textId="514A928C" w:rsidR="00626398" w:rsidRPr="009B1EE4" w:rsidRDefault="00626398" w:rsidP="00E776F7">
      <w:pPr>
        <w:spacing w:line="360" w:lineRule="auto"/>
      </w:pPr>
      <w:r w:rsidRPr="009B1EE4">
        <w:t xml:space="preserve">En el ámbito regulatorio, este </w:t>
      </w:r>
      <w:r w:rsidR="009B1EE4" w:rsidRPr="009B1EE4">
        <w:t>período</w:t>
      </w:r>
      <w:r w:rsidRPr="009B1EE4">
        <w:t xml:space="preserve"> vio nacer iniciativas pioneras. </w:t>
      </w:r>
      <w:proofErr w:type="spellStart"/>
      <w:r w:rsidR="00BE578E" w:rsidRPr="009B1EE4">
        <w:t>Mökander</w:t>
      </w:r>
      <w:proofErr w:type="spellEnd"/>
      <w:r w:rsidR="00BE578E" w:rsidRPr="009B1EE4">
        <w:t xml:space="preserve"> et al.</w:t>
      </w:r>
      <w:r w:rsidR="009B1EE4" w:rsidRPr="009B1EE4">
        <w:t xml:space="preserve"> (</w:t>
      </w:r>
      <w:r w:rsidR="00BE578E" w:rsidRPr="009B1EE4">
        <w:t>2022</w:t>
      </w:r>
      <w:r w:rsidR="009B1EE4" w:rsidRPr="009B1EE4">
        <w:t>)</w:t>
      </w:r>
      <w:r w:rsidR="00BE578E" w:rsidRPr="009B1EE4">
        <w:t xml:space="preserve"> plantea</w:t>
      </w:r>
      <w:r w:rsidR="009B1EE4" w:rsidRPr="009B1EE4">
        <w:t>n</w:t>
      </w:r>
      <w:r w:rsidR="00BE578E" w:rsidRPr="009B1EE4">
        <w:t xml:space="preserve"> que l</w:t>
      </w:r>
      <w:r w:rsidR="009B1EE4" w:rsidRPr="009B1EE4">
        <w:t>a Unión Europea</w:t>
      </w:r>
      <w:r w:rsidR="0012751E">
        <w:t xml:space="preserve"> (UE)</w:t>
      </w:r>
      <w:r w:rsidRPr="009B1EE4">
        <w:t xml:space="preserve"> estableci</w:t>
      </w:r>
      <w:r w:rsidR="00BE578E" w:rsidRPr="009B1EE4">
        <w:t>ó</w:t>
      </w:r>
      <w:r w:rsidRPr="009B1EE4">
        <w:t xml:space="preserve"> siete requisitos clave, mientras que EE.</w:t>
      </w:r>
      <w:r w:rsidR="0012751E">
        <w:t> </w:t>
      </w:r>
      <w:r w:rsidRPr="009B1EE4">
        <w:t xml:space="preserve">UU. avanzó con el </w:t>
      </w:r>
      <w:proofErr w:type="spellStart"/>
      <w:r w:rsidRPr="00720F6F">
        <w:rPr>
          <w:i/>
          <w:iCs/>
        </w:rPr>
        <w:t>Algorithmic</w:t>
      </w:r>
      <w:proofErr w:type="spellEnd"/>
      <w:r w:rsidRPr="00720F6F">
        <w:rPr>
          <w:i/>
          <w:iCs/>
        </w:rPr>
        <w:t xml:space="preserve"> </w:t>
      </w:r>
      <w:proofErr w:type="spellStart"/>
      <w:r w:rsidRPr="00720F6F">
        <w:rPr>
          <w:i/>
          <w:iCs/>
        </w:rPr>
        <w:t>Accountability</w:t>
      </w:r>
      <w:proofErr w:type="spellEnd"/>
      <w:r w:rsidRPr="00720F6F">
        <w:rPr>
          <w:i/>
          <w:iCs/>
        </w:rPr>
        <w:t xml:space="preserve"> </w:t>
      </w:r>
      <w:proofErr w:type="spellStart"/>
      <w:r w:rsidRPr="00720F6F">
        <w:rPr>
          <w:i/>
          <w:iCs/>
        </w:rPr>
        <w:t>Act</w:t>
      </w:r>
      <w:proofErr w:type="spellEnd"/>
      <w:r w:rsidRPr="009B1EE4">
        <w:t xml:space="preserve"> (</w:t>
      </w:r>
      <w:r w:rsidR="000C55F0" w:rsidRPr="009B1EE4">
        <w:t>McGregor et al., 2019</w:t>
      </w:r>
      <w:r w:rsidR="002D1BFD">
        <w:t xml:space="preserve">; </w:t>
      </w:r>
      <w:proofErr w:type="spellStart"/>
      <w:r w:rsidR="002D1BFD" w:rsidRPr="009B1EE4">
        <w:t>Madaio</w:t>
      </w:r>
      <w:proofErr w:type="spellEnd"/>
      <w:r w:rsidR="002D1BFD" w:rsidRPr="009B1EE4">
        <w:t xml:space="preserve"> et al., 2021</w:t>
      </w:r>
      <w:r w:rsidRPr="009B1EE4">
        <w:t>). Paralelamente, organismos como la OCD</w:t>
      </w:r>
      <w:r w:rsidR="002D1BFD">
        <w:t>E</w:t>
      </w:r>
      <w:r w:rsidRPr="009B1EE4">
        <w:t xml:space="preserve"> y U</w:t>
      </w:r>
      <w:r w:rsidR="002D1BFD">
        <w:t>nesco</w:t>
      </w:r>
      <w:r w:rsidRPr="009B1EE4">
        <w:t xml:space="preserve"> promovieron principios globales, aunque con limitada capacidad vinculante</w:t>
      </w:r>
      <w:r w:rsidR="00BE578E" w:rsidRPr="009B1EE4">
        <w:t xml:space="preserve"> (</w:t>
      </w:r>
      <w:proofErr w:type="spellStart"/>
      <w:r w:rsidR="001104FB" w:rsidRPr="009B1EE4">
        <w:t>Addey</w:t>
      </w:r>
      <w:proofErr w:type="spellEnd"/>
      <w:r w:rsidR="001104FB" w:rsidRPr="009B1EE4">
        <w:t xml:space="preserve">, 2021; </w:t>
      </w:r>
      <w:proofErr w:type="spellStart"/>
      <w:r w:rsidR="001104FB" w:rsidRPr="009B1EE4">
        <w:t>Auld</w:t>
      </w:r>
      <w:proofErr w:type="spellEnd"/>
      <w:r w:rsidR="001104FB" w:rsidRPr="009B1EE4">
        <w:t xml:space="preserve"> et al., 2018</w:t>
      </w:r>
      <w:r w:rsidR="00BE578E" w:rsidRPr="009B1EE4">
        <w:t>)</w:t>
      </w:r>
      <w:r w:rsidRPr="009B1EE4">
        <w:t xml:space="preserve">. </w:t>
      </w:r>
      <w:r w:rsidR="00BE578E" w:rsidRPr="009B1EE4">
        <w:t>Las directrices éticas suelen estar fragmentadas y carecen de mecanismos de aplicación sólidos, y que su aplicación efectiva depende de la colaboración de las partes interesadas, de los roles individuales y de la industria y de los instrumentos jurídicos, mientras que las directrices voluntarias con frecuencia carecen de rendición de cuentas y de aplicabilidad (</w:t>
      </w:r>
      <w:bookmarkStart w:id="2" w:name="_Hlk198203132"/>
      <w:r w:rsidR="002D1BFD" w:rsidRPr="009B1EE4">
        <w:t>Zapp, 2020</w:t>
      </w:r>
      <w:r w:rsidR="002D1BFD">
        <w:t xml:space="preserve">; </w:t>
      </w:r>
      <w:r w:rsidR="003879FB" w:rsidRPr="009B1EE4">
        <w:t>Ricardo Jiménez,</w:t>
      </w:r>
      <w:bookmarkEnd w:id="2"/>
      <w:r w:rsidR="003879FB" w:rsidRPr="009B1EE4">
        <w:t xml:space="preserve"> 2022</w:t>
      </w:r>
      <w:r w:rsidR="00BE578E" w:rsidRPr="009B1EE4">
        <w:t>)</w:t>
      </w:r>
      <w:r w:rsidRPr="009B1EE4">
        <w:t>.</w:t>
      </w:r>
    </w:p>
    <w:p w14:paraId="16849423" w14:textId="7A69F27B" w:rsidR="00626398" w:rsidRPr="009B1EE4" w:rsidRDefault="00626398" w:rsidP="00E776F7">
      <w:pPr>
        <w:spacing w:line="360" w:lineRule="auto"/>
      </w:pPr>
      <w:r w:rsidRPr="009B1EE4">
        <w:t xml:space="preserve">La mitigación de sesgos enfrentó desafíos prácticos significativos. Casos como el sistema COMPAS </w:t>
      </w:r>
      <w:r w:rsidR="00B27E42">
        <w:t>(</w:t>
      </w:r>
      <w:proofErr w:type="spellStart"/>
      <w:r w:rsidR="00B27E42" w:rsidRPr="00B27E42">
        <w:rPr>
          <w:i/>
          <w:iCs/>
        </w:rPr>
        <w:t>correctional</w:t>
      </w:r>
      <w:proofErr w:type="spellEnd"/>
      <w:r w:rsidR="00B27E42" w:rsidRPr="00B27E42">
        <w:rPr>
          <w:i/>
          <w:iCs/>
        </w:rPr>
        <w:t xml:space="preserve"> </w:t>
      </w:r>
      <w:proofErr w:type="spellStart"/>
      <w:r w:rsidR="00B27E42" w:rsidRPr="00B27E42">
        <w:rPr>
          <w:i/>
          <w:iCs/>
        </w:rPr>
        <w:t>offender</w:t>
      </w:r>
      <w:proofErr w:type="spellEnd"/>
      <w:r w:rsidR="00B27E42" w:rsidRPr="00B27E42">
        <w:rPr>
          <w:i/>
          <w:iCs/>
        </w:rPr>
        <w:t xml:space="preserve"> </w:t>
      </w:r>
      <w:proofErr w:type="spellStart"/>
      <w:r w:rsidR="00B27E42" w:rsidRPr="00B27E42">
        <w:rPr>
          <w:i/>
          <w:iCs/>
        </w:rPr>
        <w:t>management</w:t>
      </w:r>
      <w:proofErr w:type="spellEnd"/>
      <w:r w:rsidR="00B27E42" w:rsidRPr="00B27E42">
        <w:rPr>
          <w:i/>
          <w:iCs/>
        </w:rPr>
        <w:t xml:space="preserve"> </w:t>
      </w:r>
      <w:proofErr w:type="spellStart"/>
      <w:r w:rsidR="00B27E42" w:rsidRPr="00B27E42">
        <w:rPr>
          <w:i/>
          <w:iCs/>
        </w:rPr>
        <w:t>profiling</w:t>
      </w:r>
      <w:proofErr w:type="spellEnd"/>
      <w:r w:rsidR="00B27E42" w:rsidRPr="00B27E42">
        <w:rPr>
          <w:i/>
          <w:iCs/>
        </w:rPr>
        <w:t xml:space="preserve"> </w:t>
      </w:r>
      <w:proofErr w:type="spellStart"/>
      <w:r w:rsidR="00B27E42" w:rsidRPr="00B27E42">
        <w:rPr>
          <w:i/>
          <w:iCs/>
        </w:rPr>
        <w:t>for</w:t>
      </w:r>
      <w:proofErr w:type="spellEnd"/>
      <w:r w:rsidR="00B27E42" w:rsidRPr="00B27E42">
        <w:rPr>
          <w:i/>
          <w:iCs/>
        </w:rPr>
        <w:t xml:space="preserve"> alternative </w:t>
      </w:r>
      <w:proofErr w:type="spellStart"/>
      <w:r w:rsidR="00B27E42" w:rsidRPr="00B27E42">
        <w:rPr>
          <w:i/>
          <w:iCs/>
        </w:rPr>
        <w:t>sanctions</w:t>
      </w:r>
      <w:proofErr w:type="spellEnd"/>
      <w:r w:rsidR="00B27E42">
        <w:t>)</w:t>
      </w:r>
      <w:r w:rsidR="00B27E42" w:rsidRPr="00B27E42">
        <w:t xml:space="preserve"> </w:t>
      </w:r>
      <w:r w:rsidRPr="009B1EE4">
        <w:t>en justicia criminal</w:t>
      </w:r>
      <w:r w:rsidR="002D1BFD">
        <w:t>,</w:t>
      </w:r>
      <w:r w:rsidRPr="009B1EE4">
        <w:t xml:space="preserve"> </w:t>
      </w:r>
      <w:r w:rsidR="000C55F0" w:rsidRPr="009B1EE4">
        <w:t xml:space="preserve">según </w:t>
      </w:r>
      <w:r w:rsidR="001104FB" w:rsidRPr="009B1EE4">
        <w:t xml:space="preserve">Simpson </w:t>
      </w:r>
      <w:r w:rsidR="002D1BFD">
        <w:t>y</w:t>
      </w:r>
      <w:r w:rsidR="001104FB" w:rsidRPr="009B1EE4">
        <w:t xml:space="preserve"> </w:t>
      </w:r>
      <w:proofErr w:type="spellStart"/>
      <w:r w:rsidR="001104FB" w:rsidRPr="009B1EE4">
        <w:t>Dervin</w:t>
      </w:r>
      <w:proofErr w:type="spellEnd"/>
      <w:r w:rsidR="002D1BFD">
        <w:t xml:space="preserve"> </w:t>
      </w:r>
      <w:r w:rsidR="001104FB" w:rsidRPr="009B1EE4">
        <w:t>(2019)</w:t>
      </w:r>
      <w:r w:rsidR="002D1BFD">
        <w:t>,</w:t>
      </w:r>
      <w:r w:rsidRPr="009B1EE4">
        <w:t xml:space="preserve"> y algoritmos de contratación de Amazon (</w:t>
      </w:r>
      <w:proofErr w:type="spellStart"/>
      <w:r w:rsidR="00731B3D" w:rsidRPr="009B1EE4">
        <w:t>Langenkamp</w:t>
      </w:r>
      <w:proofErr w:type="spellEnd"/>
      <w:r w:rsidR="00731B3D" w:rsidRPr="009B1EE4">
        <w:t xml:space="preserve"> et al., 2020</w:t>
      </w:r>
      <w:r w:rsidR="004C183B" w:rsidRPr="009B1EE4">
        <w:t xml:space="preserve">; </w:t>
      </w:r>
      <w:proofErr w:type="spellStart"/>
      <w:r w:rsidR="004C183B" w:rsidRPr="009B1EE4">
        <w:t>Lyu</w:t>
      </w:r>
      <w:proofErr w:type="spellEnd"/>
      <w:r w:rsidR="004C183B" w:rsidRPr="009B1EE4">
        <w:t xml:space="preserve"> et al., 2022</w:t>
      </w:r>
      <w:r w:rsidRPr="009B1EE4">
        <w:t>) demostraron que las soluciones técnicas aisladas son insuficientes. Investigaciones posteriores</w:t>
      </w:r>
      <w:r w:rsidR="000E27F6" w:rsidRPr="009B1EE4">
        <w:t xml:space="preserve">, </w:t>
      </w:r>
      <w:r w:rsidRPr="009B1EE4">
        <w:t xml:space="preserve">como las de </w:t>
      </w:r>
      <w:proofErr w:type="spellStart"/>
      <w:r w:rsidR="004B713E" w:rsidRPr="009B1EE4">
        <w:t>Baykurt</w:t>
      </w:r>
      <w:proofErr w:type="spellEnd"/>
      <w:r w:rsidR="004B713E" w:rsidRPr="009B1EE4">
        <w:t xml:space="preserve"> (2022)</w:t>
      </w:r>
      <w:r w:rsidR="00B27E42">
        <w:t>,</w:t>
      </w:r>
      <w:r w:rsidR="004B713E" w:rsidRPr="009B1EE4">
        <w:t xml:space="preserve"> </w:t>
      </w:r>
      <w:r w:rsidRPr="009B1EE4">
        <w:t xml:space="preserve">argumentaron que la equidad algorítmica requiere </w:t>
      </w:r>
      <w:r w:rsidR="000A523E">
        <w:t>realizar compensaciones</w:t>
      </w:r>
      <w:r w:rsidRPr="009B1EE4">
        <w:t xml:space="preserve"> </w:t>
      </w:r>
      <w:r w:rsidR="000A523E">
        <w:t>(</w:t>
      </w:r>
      <w:proofErr w:type="spellStart"/>
      <w:r w:rsidRPr="009B1EE4">
        <w:rPr>
          <w:i/>
          <w:iCs/>
        </w:rPr>
        <w:t>trade-offs</w:t>
      </w:r>
      <w:proofErr w:type="spellEnd"/>
      <w:r w:rsidR="000A523E">
        <w:t xml:space="preserve">) </w:t>
      </w:r>
      <w:r w:rsidRPr="009B1EE4">
        <w:t>inherentes.</w:t>
      </w:r>
    </w:p>
    <w:p w14:paraId="7733C0E7" w14:textId="4D8860C1" w:rsidR="00626398" w:rsidRPr="009B1EE4" w:rsidRDefault="00626398" w:rsidP="00E776F7">
      <w:pPr>
        <w:spacing w:line="360" w:lineRule="auto"/>
      </w:pPr>
      <w:r w:rsidRPr="009B1EE4">
        <w:t>Ante este panorama, se hizo evidente la necesidad de enfoques holísticos que integren avances técnicos con marcos regulatorios adaptables y participación de comunidades afectadas. E</w:t>
      </w:r>
      <w:r w:rsidR="0028377A">
        <w:t>n e</w:t>
      </w:r>
      <w:r w:rsidRPr="009B1EE4">
        <w:t xml:space="preserve">ste artículo </w:t>
      </w:r>
      <w:r w:rsidR="0028377A">
        <w:t xml:space="preserve">se </w:t>
      </w:r>
      <w:r w:rsidRPr="009B1EE4">
        <w:t xml:space="preserve">analiza críticamente las tendencias en mitigación de sesgos durante 2018-2022, periodo clave donde </w:t>
      </w:r>
      <w:r w:rsidR="0028377A">
        <w:t xml:space="preserve">se </w:t>
      </w:r>
      <w:r w:rsidRPr="009B1EE4">
        <w:t xml:space="preserve">cristalizaron tanto innovaciones algorítmicas como respuestas normativas. Su objetivo es sistematizar aprendizajes desde cuatro perspectivas complementarias: detección técnica, métodos de mitigación, regulación y desafíos de implementación, </w:t>
      </w:r>
      <w:r w:rsidR="0028377A">
        <w:t>y</w:t>
      </w:r>
      <w:r w:rsidR="00E22C87" w:rsidRPr="009B1EE4">
        <w:t xml:space="preserve"> </w:t>
      </w:r>
      <w:r w:rsidRPr="009B1EE4">
        <w:t>ofrec</w:t>
      </w:r>
      <w:r w:rsidR="00E22C87" w:rsidRPr="009B1EE4">
        <w:t>er</w:t>
      </w:r>
      <w:r w:rsidRPr="009B1EE4">
        <w:t xml:space="preserve"> así una visión integral para guiar desarrollos futuros en IA ética.</w:t>
      </w:r>
    </w:p>
    <w:p w14:paraId="28F9FA0B" w14:textId="77777777" w:rsidR="00B86087" w:rsidRDefault="00B86087" w:rsidP="00F71659">
      <w:pPr>
        <w:spacing w:line="360" w:lineRule="auto"/>
        <w:jc w:val="center"/>
        <w:rPr>
          <w:b/>
          <w:bCs/>
        </w:rPr>
      </w:pPr>
    </w:p>
    <w:p w14:paraId="75F11A95" w14:textId="4F3E740C" w:rsidR="00626398" w:rsidRPr="009B1EE4" w:rsidRDefault="00626398" w:rsidP="00720F6F">
      <w:pPr>
        <w:spacing w:line="360" w:lineRule="auto"/>
        <w:jc w:val="center"/>
      </w:pPr>
      <w:r w:rsidRPr="009B1EE4">
        <w:rPr>
          <w:b/>
          <w:bCs/>
        </w:rPr>
        <w:lastRenderedPageBreak/>
        <w:t>Metodología</w:t>
      </w:r>
      <w:r w:rsidR="00B86087">
        <w:rPr>
          <w:b/>
          <w:bCs/>
        </w:rPr>
        <w:t>[T1]</w:t>
      </w:r>
    </w:p>
    <w:p w14:paraId="3D95C5F5" w14:textId="20AE3554" w:rsidR="00626398" w:rsidRPr="009B1EE4" w:rsidRDefault="00626398" w:rsidP="00E776F7">
      <w:pPr>
        <w:spacing w:line="360" w:lineRule="auto"/>
      </w:pPr>
      <w:r w:rsidRPr="009B1EE4">
        <w:t>Este artículo se fundamenta en una revisión documental sistemática de la literatura científica sobre ética y mitigación de sesgos en sistemas de IA, publicada entre 2018 y 2022</w:t>
      </w:r>
      <w:r w:rsidR="0028377A">
        <w:t>. LA revisión se hizo a través de</w:t>
      </w:r>
      <w:r w:rsidRPr="009B1EE4">
        <w:t xml:space="preserve"> las bases de datos </w:t>
      </w:r>
      <w:proofErr w:type="spellStart"/>
      <w:r w:rsidRPr="009B1EE4">
        <w:t>Scopus</w:t>
      </w:r>
      <w:proofErr w:type="spellEnd"/>
      <w:r w:rsidRPr="009B1EE4">
        <w:t xml:space="preserve"> y Web </w:t>
      </w:r>
      <w:proofErr w:type="spellStart"/>
      <w:r w:rsidRPr="009B1EE4">
        <w:t>of</w:t>
      </w:r>
      <w:proofErr w:type="spellEnd"/>
      <w:r w:rsidRPr="009B1EE4">
        <w:t xml:space="preserve"> </w:t>
      </w:r>
      <w:proofErr w:type="spellStart"/>
      <w:r w:rsidRPr="009B1EE4">
        <w:t>Science</w:t>
      </w:r>
      <w:proofErr w:type="spellEnd"/>
      <w:r w:rsidRPr="009B1EE4">
        <w:t xml:space="preserve">. El enfoque metodológico adoptado permitió identificar, evaluar y sintetizar las principales tendencias técnicas y regulatorias en este campo, </w:t>
      </w:r>
      <w:r w:rsidR="0028377A">
        <w:t>así como</w:t>
      </w:r>
      <w:r w:rsidR="00E22C87" w:rsidRPr="009B1EE4">
        <w:t xml:space="preserve"> </w:t>
      </w:r>
      <w:r w:rsidRPr="009B1EE4">
        <w:t>garantiza</w:t>
      </w:r>
      <w:r w:rsidR="00E22C87" w:rsidRPr="009B1EE4">
        <w:t>r</w:t>
      </w:r>
      <w:r w:rsidRPr="009B1EE4">
        <w:t xml:space="preserve"> un análisis riguroso y reproducible. La revisión se estructuró en </w:t>
      </w:r>
      <w:r w:rsidR="003E7281" w:rsidRPr="009B1EE4">
        <w:t>tres</w:t>
      </w:r>
      <w:r w:rsidRPr="009B1EE4">
        <w:t xml:space="preserve"> etapas claramente definidas (</w:t>
      </w:r>
      <w:r w:rsidR="0028377A">
        <w:t>v</w:t>
      </w:r>
      <w:r w:rsidRPr="009B1EE4">
        <w:t xml:space="preserve">er Figura 1), </w:t>
      </w:r>
      <w:r w:rsidR="00E22C87" w:rsidRPr="009B1EE4">
        <w:t xml:space="preserve">al </w:t>
      </w:r>
      <w:r w:rsidRPr="009B1EE4">
        <w:t>s</w:t>
      </w:r>
      <w:r w:rsidR="00E22C87" w:rsidRPr="009B1EE4">
        <w:t>e</w:t>
      </w:r>
      <w:r w:rsidRPr="009B1EE4">
        <w:t>gu</w:t>
      </w:r>
      <w:r w:rsidR="00E22C87" w:rsidRPr="009B1EE4">
        <w:t>ir</w:t>
      </w:r>
      <w:r w:rsidRPr="009B1EE4">
        <w:t xml:space="preserve"> protocolos establecidos en revisiones sistemáticas, lo que aseguró la selección de fuentes relevantes y minimizó sesgos en la recopilación de información</w:t>
      </w:r>
      <w:r w:rsidR="003E7281" w:rsidRPr="009B1EE4">
        <w:t xml:space="preserve"> (</w:t>
      </w:r>
      <w:r w:rsidR="004C183B" w:rsidRPr="009B1EE4">
        <w:t>Chalmers, 2018; Petersen et al., 2021</w:t>
      </w:r>
      <w:r w:rsidR="003E7281" w:rsidRPr="009B1EE4">
        <w:t>)</w:t>
      </w:r>
      <w:r w:rsidRPr="009B1EE4">
        <w:t>.</w:t>
      </w:r>
    </w:p>
    <w:p w14:paraId="748416AC" w14:textId="77777777" w:rsidR="00B6269A" w:rsidRDefault="00B6269A" w:rsidP="00E776F7">
      <w:pPr>
        <w:spacing w:line="360" w:lineRule="auto"/>
        <w:rPr>
          <w:b/>
          <w:bCs/>
        </w:rPr>
      </w:pPr>
    </w:p>
    <w:p w14:paraId="12DF03D3" w14:textId="56408AC4" w:rsidR="00B6269A" w:rsidRDefault="00626398" w:rsidP="00E776F7">
      <w:pPr>
        <w:spacing w:line="360" w:lineRule="auto"/>
        <w:rPr>
          <w:b/>
          <w:bCs/>
        </w:rPr>
      </w:pPr>
      <w:r w:rsidRPr="009B1EE4">
        <w:rPr>
          <w:b/>
          <w:bCs/>
        </w:rPr>
        <w:t>Figura 1</w:t>
      </w:r>
    </w:p>
    <w:p w14:paraId="35D81D59" w14:textId="719C43B9" w:rsidR="00626398" w:rsidRPr="00720F6F" w:rsidRDefault="00626398" w:rsidP="00E776F7">
      <w:pPr>
        <w:spacing w:line="360" w:lineRule="auto"/>
        <w:rPr>
          <w:i/>
          <w:iCs/>
        </w:rPr>
      </w:pPr>
      <w:r w:rsidRPr="00720F6F">
        <w:rPr>
          <w:i/>
          <w:iCs/>
        </w:rPr>
        <w:t xml:space="preserve">Etapas del proceso de revisión documental </w:t>
      </w:r>
    </w:p>
    <w:p w14:paraId="29192E22" w14:textId="4815136A" w:rsidR="00811804" w:rsidRPr="009B1EE4" w:rsidRDefault="00811804" w:rsidP="00E776F7">
      <w:pPr>
        <w:spacing w:line="360" w:lineRule="auto"/>
      </w:pPr>
      <w:r w:rsidRPr="009B1EE4">
        <w:rPr>
          <w:noProof/>
        </w:rPr>
        <w:drawing>
          <wp:inline distT="0" distB="0" distL="0" distR="0" wp14:anchorId="6B9693FC" wp14:editId="48F9C4C2">
            <wp:extent cx="5593080" cy="3829050"/>
            <wp:effectExtent l="38100" t="19050" r="26670" b="38100"/>
            <wp:docPr id="11772120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3585BFD" w14:textId="13CDF6A2" w:rsidR="00626398" w:rsidRPr="009B1EE4" w:rsidRDefault="00626398" w:rsidP="003E7281">
      <w:pPr>
        <w:spacing w:line="360" w:lineRule="auto"/>
      </w:pPr>
      <w:r w:rsidRPr="009B1EE4">
        <w:t xml:space="preserve"> </w:t>
      </w:r>
    </w:p>
    <w:p w14:paraId="2FCDDBD1" w14:textId="1121F388" w:rsidR="00626398" w:rsidRPr="009B1EE4" w:rsidRDefault="00626398" w:rsidP="00E776F7">
      <w:pPr>
        <w:spacing w:line="360" w:lineRule="auto"/>
      </w:pPr>
      <w:r w:rsidRPr="009B1EE4">
        <w:t>Este enfoque metodológico permitió un análisis integral</w:t>
      </w:r>
      <w:r w:rsidRPr="009B1EE4">
        <w:rPr>
          <w:b/>
          <w:bCs/>
        </w:rPr>
        <w:t xml:space="preserve"> </w:t>
      </w:r>
      <w:r w:rsidRPr="009B1EE4">
        <w:t xml:space="preserve">del estado del arte en mitigación de sesgos, </w:t>
      </w:r>
      <w:r w:rsidR="00E22C87" w:rsidRPr="009B1EE4">
        <w:t xml:space="preserve">al </w:t>
      </w:r>
      <w:r w:rsidRPr="009B1EE4">
        <w:t>combin</w:t>
      </w:r>
      <w:r w:rsidR="00E22C87" w:rsidRPr="009B1EE4">
        <w:t>ar</w:t>
      </w:r>
      <w:r w:rsidRPr="009B1EE4">
        <w:t xml:space="preserve"> perspectivas técnicas y regulatorias. La rigurosidad del proceso -desde la búsqueda sistemática hasta la validación con expertos- aseguró la confiabilidad de los resultados. </w:t>
      </w:r>
      <w:r w:rsidRPr="009B1EE4">
        <w:lastRenderedPageBreak/>
        <w:t xml:space="preserve">La inclusión de literatura gris (informes técnicos y políticas) complementó los hallazgos académicos, </w:t>
      </w:r>
      <w:r w:rsidR="00E22C87" w:rsidRPr="009B1EE4">
        <w:t xml:space="preserve">esto ofrece </w:t>
      </w:r>
      <w:r w:rsidRPr="009B1EE4">
        <w:t>una visión holística del desafío ético en IA (</w:t>
      </w:r>
      <w:bookmarkStart w:id="3" w:name="_Hlk198203091"/>
      <w:r w:rsidR="004C183B" w:rsidRPr="009B1EE4">
        <w:t xml:space="preserve">Cruz et al., 2022; </w:t>
      </w:r>
      <w:r w:rsidR="003879FB" w:rsidRPr="009B1EE4">
        <w:t>Gómez Miranda,</w:t>
      </w:r>
      <w:bookmarkEnd w:id="3"/>
      <w:r w:rsidR="003879FB" w:rsidRPr="009B1EE4">
        <w:t xml:space="preserve"> 2022</w:t>
      </w:r>
      <w:r w:rsidRPr="009B1EE4">
        <w:t>).</w:t>
      </w:r>
    </w:p>
    <w:p w14:paraId="6BB60C47" w14:textId="1EF925F4" w:rsidR="00626398" w:rsidRPr="009B1EE4" w:rsidRDefault="00626398" w:rsidP="00720F6F">
      <w:pPr>
        <w:spacing w:line="360" w:lineRule="auto"/>
        <w:jc w:val="center"/>
      </w:pPr>
      <w:r w:rsidRPr="009B1EE4">
        <w:rPr>
          <w:b/>
          <w:bCs/>
        </w:rPr>
        <w:t>Resultados</w:t>
      </w:r>
      <w:r w:rsidR="00B86087">
        <w:rPr>
          <w:b/>
          <w:bCs/>
        </w:rPr>
        <w:t>[T1]</w:t>
      </w:r>
    </w:p>
    <w:p w14:paraId="4201EAB7" w14:textId="06F6C035" w:rsidR="00626398" w:rsidRPr="009B1EE4" w:rsidRDefault="00626398" w:rsidP="00E776F7">
      <w:pPr>
        <w:spacing w:line="360" w:lineRule="auto"/>
      </w:pPr>
      <w:r w:rsidRPr="009B1EE4">
        <w:t>El análisis cualitativo de la literatura reveló que la mitigación de sesgos en IA requiere un abordaje multidimensional que integre avances técnicos con marcos regulatorios robustos. Entre 2018-2022, la investigación evolucionó desde la identificación de sesgos hacia el desarrollo de soluciones prácticas, aunque persisten desafíos significativos en su implementación. Los hallazgos se organizaron en cuatro ejes temáticos fundamentales: técnicas de detección de sesgos, métodos de mitigación algorítmica, marcos regulatorios emergentes, y desafíos en implementación real. Cada eje demostró avances prometedores</w:t>
      </w:r>
      <w:r w:rsidR="00F71659">
        <w:t>,</w:t>
      </w:r>
      <w:r w:rsidRPr="009B1EE4">
        <w:t xml:space="preserve"> pero también limitaciones críticas que requieren atención continua.</w:t>
      </w:r>
    </w:p>
    <w:p w14:paraId="5E96501C" w14:textId="2B0956E5" w:rsidR="00626398" w:rsidRPr="009B1EE4" w:rsidRDefault="00626398" w:rsidP="00720F6F">
      <w:pPr>
        <w:spacing w:line="360" w:lineRule="auto"/>
        <w:ind w:firstLine="0"/>
      </w:pPr>
      <w:r w:rsidRPr="009B1EE4">
        <w:rPr>
          <w:b/>
          <w:bCs/>
        </w:rPr>
        <w:t xml:space="preserve">1. Técnicas de detección de sesgos </w:t>
      </w:r>
      <w:r w:rsidR="00B86087">
        <w:rPr>
          <w:b/>
          <w:bCs/>
        </w:rPr>
        <w:t>[T2]</w:t>
      </w:r>
    </w:p>
    <w:p w14:paraId="478C3603" w14:textId="78D393EB" w:rsidR="00626398" w:rsidRPr="009B1EE4" w:rsidRDefault="00626398" w:rsidP="00E776F7">
      <w:pPr>
        <w:spacing w:line="360" w:lineRule="auto"/>
      </w:pPr>
      <w:r w:rsidRPr="009B1EE4">
        <w:t>Los estudios analizados identificaron tres categorías principales de técnicas de detección</w:t>
      </w:r>
      <w:r w:rsidR="000E27F6" w:rsidRPr="009B1EE4">
        <w:t xml:space="preserve"> (ver figura 2)</w:t>
      </w:r>
      <w:r w:rsidRPr="009B1EE4">
        <w:t>. Las métricas estadísticas se consolidaron como estándar para cuantificar sesgos, particularmente en dominios sensibles como contratación y justicia penal (</w:t>
      </w:r>
      <w:r w:rsidR="004C183B" w:rsidRPr="009B1EE4">
        <w:t xml:space="preserve">Lin &amp; Chu, 2018; </w:t>
      </w:r>
      <w:r w:rsidR="004B713E" w:rsidRPr="009B1EE4">
        <w:t>Pérez-Gamboa et al., 2022</w:t>
      </w:r>
      <w:r w:rsidRPr="009B1EE4">
        <w:t xml:space="preserve">). Sin embargo, investigaciones como las de </w:t>
      </w:r>
      <w:proofErr w:type="spellStart"/>
      <w:r w:rsidR="00731B3D" w:rsidRPr="009B1EE4">
        <w:t>Madaio</w:t>
      </w:r>
      <w:proofErr w:type="spellEnd"/>
      <w:r w:rsidR="00731B3D" w:rsidRPr="009B1EE4">
        <w:t xml:space="preserve"> et al, (2021) </w:t>
      </w:r>
      <w:r w:rsidRPr="009B1EE4">
        <w:t xml:space="preserve">destacaron que estas métricas a menudo entran en conflicto, </w:t>
      </w:r>
      <w:r w:rsidR="000E27F6" w:rsidRPr="009B1EE4">
        <w:t xml:space="preserve">lo que las hace </w:t>
      </w:r>
      <w:r w:rsidR="000611F2" w:rsidRPr="009B1EE4">
        <w:t>requerir</w:t>
      </w:r>
      <w:r w:rsidRPr="009B1EE4">
        <w:t xml:space="preserve"> elecciones normativas sobre qué tipo de equidad priorizar.</w:t>
      </w:r>
    </w:p>
    <w:p w14:paraId="5F19C6AA" w14:textId="77777777" w:rsidR="00F71659" w:rsidRDefault="00F71659" w:rsidP="00E776F7">
      <w:pPr>
        <w:spacing w:line="360" w:lineRule="auto"/>
        <w:rPr>
          <w:b/>
          <w:bCs/>
        </w:rPr>
      </w:pPr>
    </w:p>
    <w:p w14:paraId="0AE1302A" w14:textId="5F7B71F4" w:rsidR="00F71659" w:rsidRDefault="000E27F6" w:rsidP="00E776F7">
      <w:pPr>
        <w:spacing w:line="360" w:lineRule="auto"/>
        <w:rPr>
          <w:b/>
          <w:bCs/>
        </w:rPr>
      </w:pPr>
      <w:r w:rsidRPr="009B1EE4">
        <w:rPr>
          <w:b/>
          <w:bCs/>
        </w:rPr>
        <w:t xml:space="preserve">Figura 2 </w:t>
      </w:r>
    </w:p>
    <w:p w14:paraId="26D793B5" w14:textId="258C1A7F" w:rsidR="000E27F6" w:rsidRPr="00720F6F" w:rsidRDefault="000E27F6" w:rsidP="00E776F7">
      <w:pPr>
        <w:spacing w:line="360" w:lineRule="auto"/>
        <w:rPr>
          <w:i/>
          <w:iCs/>
        </w:rPr>
      </w:pPr>
      <w:r w:rsidRPr="00720F6F">
        <w:rPr>
          <w:i/>
          <w:iCs/>
        </w:rPr>
        <w:t>Categorías de técnicas de detección de sesgos</w:t>
      </w:r>
    </w:p>
    <w:p w14:paraId="6DC5266E" w14:textId="6752B552" w:rsidR="000E27F6" w:rsidRPr="009B1EE4" w:rsidRDefault="000E27F6" w:rsidP="00E776F7">
      <w:pPr>
        <w:spacing w:line="360" w:lineRule="auto"/>
      </w:pPr>
      <w:r w:rsidRPr="009B1EE4">
        <w:rPr>
          <w:noProof/>
        </w:rPr>
        <w:lastRenderedPageBreak/>
        <w:drawing>
          <wp:inline distT="0" distB="0" distL="0" distR="0" wp14:anchorId="6B02EFA4" wp14:editId="3EDEB4AD">
            <wp:extent cx="5486400" cy="2667000"/>
            <wp:effectExtent l="0" t="0" r="0" b="19050"/>
            <wp:docPr id="1517527809"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0249E02" w14:textId="77777777" w:rsidR="00F71659" w:rsidRDefault="00F71659" w:rsidP="00E776F7">
      <w:pPr>
        <w:spacing w:line="360" w:lineRule="auto"/>
      </w:pPr>
    </w:p>
    <w:p w14:paraId="6900E3E2" w14:textId="3AB29D50" w:rsidR="00626398" w:rsidRPr="009B1EE4" w:rsidRDefault="00626398" w:rsidP="00E776F7">
      <w:pPr>
        <w:spacing w:line="360" w:lineRule="auto"/>
      </w:pPr>
      <w:r w:rsidRPr="009B1EE4">
        <w:t xml:space="preserve">Los métodos basados en modelos </w:t>
      </w:r>
      <w:r w:rsidR="00B6269A">
        <w:t xml:space="preserve">explicativos como </w:t>
      </w:r>
      <w:r w:rsidRPr="009B1EE4">
        <w:t>SHAP</w:t>
      </w:r>
      <w:r w:rsidR="00B6269A">
        <w:t xml:space="preserve"> (</w:t>
      </w:r>
      <w:proofErr w:type="spellStart"/>
      <w:r w:rsidR="00B6269A" w:rsidRPr="00720F6F">
        <w:rPr>
          <w:i/>
          <w:iCs/>
        </w:rPr>
        <w:t>SHapley</w:t>
      </w:r>
      <w:proofErr w:type="spellEnd"/>
      <w:r w:rsidR="00B6269A" w:rsidRPr="00720F6F">
        <w:rPr>
          <w:i/>
          <w:iCs/>
        </w:rPr>
        <w:t xml:space="preserve"> </w:t>
      </w:r>
      <w:proofErr w:type="spellStart"/>
      <w:r w:rsidR="00B6269A" w:rsidRPr="00720F6F">
        <w:rPr>
          <w:i/>
          <w:iCs/>
        </w:rPr>
        <w:t>Additive</w:t>
      </w:r>
      <w:proofErr w:type="spellEnd"/>
      <w:r w:rsidR="00B6269A" w:rsidRPr="00720F6F">
        <w:rPr>
          <w:i/>
          <w:iCs/>
        </w:rPr>
        <w:t xml:space="preserve"> </w:t>
      </w:r>
      <w:proofErr w:type="spellStart"/>
      <w:r w:rsidR="00B6269A" w:rsidRPr="00720F6F">
        <w:rPr>
          <w:i/>
          <w:iCs/>
        </w:rPr>
        <w:t>exPlanations</w:t>
      </w:r>
      <w:proofErr w:type="spellEnd"/>
      <w:r w:rsidR="00B6269A">
        <w:t>)</w:t>
      </w:r>
      <w:r w:rsidRPr="009B1EE4">
        <w:t xml:space="preserve"> y LIME</w:t>
      </w:r>
      <w:r w:rsidR="00B6269A">
        <w:t xml:space="preserve"> (</w:t>
      </w:r>
      <w:r w:rsidR="00B6269A" w:rsidRPr="00B6269A">
        <w:rPr>
          <w:i/>
          <w:iCs/>
        </w:rPr>
        <w:t xml:space="preserve">Local Interpretable </w:t>
      </w:r>
      <w:proofErr w:type="spellStart"/>
      <w:r w:rsidR="00B6269A" w:rsidRPr="00B6269A">
        <w:rPr>
          <w:i/>
          <w:iCs/>
        </w:rPr>
        <w:t>Model-agnostic</w:t>
      </w:r>
      <w:proofErr w:type="spellEnd"/>
      <w:r w:rsidR="00B6269A" w:rsidRPr="00B6269A">
        <w:rPr>
          <w:i/>
          <w:iCs/>
        </w:rPr>
        <w:t xml:space="preserve"> </w:t>
      </w:r>
      <w:proofErr w:type="spellStart"/>
      <w:r w:rsidR="00B6269A" w:rsidRPr="00B6269A">
        <w:rPr>
          <w:i/>
          <w:iCs/>
        </w:rPr>
        <w:t>Explanations</w:t>
      </w:r>
      <w:proofErr w:type="spellEnd"/>
      <w:r w:rsidR="00B6269A" w:rsidRPr="00720F6F">
        <w:t>)</w:t>
      </w:r>
      <w:r w:rsidRPr="009B1EE4">
        <w:t xml:space="preserve"> ganaron adopción para identificar características potencialmente sesgadas en predicciones algorítmicas (</w:t>
      </w:r>
      <w:proofErr w:type="spellStart"/>
      <w:r w:rsidR="008A4553" w:rsidRPr="009B1EE4">
        <w:t>Czarnowska</w:t>
      </w:r>
      <w:proofErr w:type="spellEnd"/>
      <w:r w:rsidR="008A4553" w:rsidRPr="009B1EE4">
        <w:t xml:space="preserve"> et al., 2021; Pospisil </w:t>
      </w:r>
      <w:r w:rsidR="00B6269A">
        <w:t>y</w:t>
      </w:r>
      <w:r w:rsidR="008A4553" w:rsidRPr="009B1EE4">
        <w:t xml:space="preserve"> </w:t>
      </w:r>
      <w:proofErr w:type="spellStart"/>
      <w:r w:rsidR="008A4553" w:rsidRPr="009B1EE4">
        <w:t>Bair</w:t>
      </w:r>
      <w:proofErr w:type="spellEnd"/>
      <w:r w:rsidR="008A4553" w:rsidRPr="009B1EE4">
        <w:t>, 2022</w:t>
      </w:r>
      <w:r w:rsidRPr="009B1EE4">
        <w:t xml:space="preserve">). No obstante, su aplicabilidad en modelos complejos mostró limitaciones, ya que las explicaciones podían </w:t>
      </w:r>
      <w:r w:rsidR="004D0953">
        <w:t xml:space="preserve">tornarse imposibles </w:t>
      </w:r>
      <w:proofErr w:type="gramStart"/>
      <w:r w:rsidR="004D0953">
        <w:t xml:space="preserve">de  </w:t>
      </w:r>
      <w:r w:rsidRPr="009B1EE4">
        <w:t>interpreta</w:t>
      </w:r>
      <w:r w:rsidR="004D0953">
        <w:t>r</w:t>
      </w:r>
      <w:proofErr w:type="gramEnd"/>
      <w:r w:rsidRPr="009B1EE4">
        <w:t xml:space="preserve"> (</w:t>
      </w:r>
      <w:bookmarkStart w:id="4" w:name="_Hlk198202329"/>
      <w:r w:rsidR="004B713E" w:rsidRPr="009B1EE4">
        <w:t>Rodríguez-Torres</w:t>
      </w:r>
      <w:bookmarkEnd w:id="4"/>
      <w:r w:rsidR="004B713E" w:rsidRPr="009B1EE4">
        <w:t xml:space="preserve"> et al., 2022</w:t>
      </w:r>
      <w:r w:rsidR="008A4553" w:rsidRPr="009B1EE4">
        <w:t>; Zahid et al., 2020</w:t>
      </w:r>
      <w:r w:rsidRPr="009B1EE4">
        <w:t xml:space="preserve">). Esto llevó al desarrollo de técnicas específicas para modelos de caja negra, como </w:t>
      </w:r>
      <w:r w:rsidR="004D0953" w:rsidRPr="009B1EE4">
        <w:t>las pruebas</w:t>
      </w:r>
      <w:r w:rsidRPr="009B1EE4">
        <w:t xml:space="preserve"> de estrés sesgados </w:t>
      </w:r>
      <w:r w:rsidR="000E27F6" w:rsidRPr="009B1EE4">
        <w:t>(</w:t>
      </w:r>
      <w:proofErr w:type="spellStart"/>
      <w:r w:rsidR="008A4553" w:rsidRPr="009B1EE4">
        <w:t>Goldfarb</w:t>
      </w:r>
      <w:proofErr w:type="spellEnd"/>
      <w:r w:rsidR="008A4553" w:rsidRPr="009B1EE4">
        <w:t xml:space="preserve">-Tarrant et al., </w:t>
      </w:r>
      <w:r w:rsidR="00A75084" w:rsidRPr="009B1EE4">
        <w:t xml:space="preserve">2020; </w:t>
      </w:r>
      <w:proofErr w:type="spellStart"/>
      <w:r w:rsidR="00A75084" w:rsidRPr="009B1EE4">
        <w:t>Miroshnikov</w:t>
      </w:r>
      <w:proofErr w:type="spellEnd"/>
      <w:r w:rsidR="00A75084" w:rsidRPr="009B1EE4">
        <w:t xml:space="preserve"> et al., 2020</w:t>
      </w:r>
      <w:r w:rsidRPr="009B1EE4">
        <w:t>).</w:t>
      </w:r>
    </w:p>
    <w:p w14:paraId="62334A4A" w14:textId="3EE975E0" w:rsidR="00626398" w:rsidRPr="009B1EE4" w:rsidRDefault="00626398" w:rsidP="00E776F7">
      <w:pPr>
        <w:spacing w:line="360" w:lineRule="auto"/>
      </w:pPr>
      <w:r w:rsidRPr="009B1EE4">
        <w:t xml:space="preserve">En el análisis de datos, herramientas como AI </w:t>
      </w:r>
      <w:proofErr w:type="spellStart"/>
      <w:r w:rsidRPr="009B1EE4">
        <w:t>Fairness</w:t>
      </w:r>
      <w:proofErr w:type="spellEnd"/>
      <w:r w:rsidRPr="009B1EE4">
        <w:t xml:space="preserve"> 360 </w:t>
      </w:r>
      <w:r w:rsidR="00B6269A">
        <w:t xml:space="preserve">de IBM </w:t>
      </w:r>
      <w:proofErr w:type="gramStart"/>
      <w:r w:rsidRPr="009B1EE4">
        <w:t xml:space="preserve">y  </w:t>
      </w:r>
      <w:proofErr w:type="spellStart"/>
      <w:r w:rsidRPr="009B1EE4">
        <w:t>What</w:t>
      </w:r>
      <w:proofErr w:type="gramEnd"/>
      <w:r w:rsidRPr="009B1EE4">
        <w:t>-If</w:t>
      </w:r>
      <w:proofErr w:type="spellEnd"/>
      <w:r w:rsidRPr="009B1EE4">
        <w:t xml:space="preserve"> </w:t>
      </w:r>
      <w:r w:rsidR="00B6269A">
        <w:t xml:space="preserve">de Google </w:t>
      </w:r>
      <w:r w:rsidRPr="009B1EE4">
        <w:t>permitieron visualizar disparidades antes del entrenamiento de modelos (</w:t>
      </w:r>
      <w:r w:rsidR="004B713E" w:rsidRPr="009B1EE4">
        <w:t xml:space="preserve">Gómez-Cano </w:t>
      </w:r>
      <w:r w:rsidR="00B6269A">
        <w:t>y</w:t>
      </w:r>
      <w:r w:rsidR="004B713E" w:rsidRPr="009B1EE4">
        <w:t xml:space="preserve"> Sánchez-Castillo, 2021</w:t>
      </w:r>
      <w:r w:rsidR="00B6269A">
        <w:t>;</w:t>
      </w:r>
      <w:r w:rsidR="00B6269A" w:rsidRPr="00B6269A">
        <w:t xml:space="preserve"> </w:t>
      </w:r>
      <w:proofErr w:type="spellStart"/>
      <w:r w:rsidR="00B6269A" w:rsidRPr="009B1EE4">
        <w:t>Delobelle</w:t>
      </w:r>
      <w:proofErr w:type="spellEnd"/>
      <w:r w:rsidR="00B6269A" w:rsidRPr="009B1EE4">
        <w:t xml:space="preserve"> et al., 2022</w:t>
      </w:r>
      <w:r w:rsidRPr="009B1EE4">
        <w:t>). Estudios de caso revelaron que más del 60</w:t>
      </w:r>
      <w:r w:rsidR="00253F14">
        <w:t> </w:t>
      </w:r>
      <w:r w:rsidRPr="009B1EE4">
        <w:t xml:space="preserve">% de los sesgos provenían de conjuntos de datos no representativos, </w:t>
      </w:r>
      <w:r w:rsidR="00417894" w:rsidRPr="009B1EE4">
        <w:t xml:space="preserve">al </w:t>
      </w:r>
      <w:r w:rsidRPr="009B1EE4">
        <w:t>destaca</w:t>
      </w:r>
      <w:r w:rsidR="00417894" w:rsidRPr="009B1EE4">
        <w:t>r</w:t>
      </w:r>
      <w:r w:rsidRPr="009B1EE4">
        <w:t xml:space="preserve"> la necesidad de mejores prácticas en recolección y anotación</w:t>
      </w:r>
      <w:r w:rsidR="00417894" w:rsidRPr="009B1EE4">
        <w:t xml:space="preserve"> (</w:t>
      </w:r>
      <w:r w:rsidR="00A75084" w:rsidRPr="009B1EE4">
        <w:t xml:space="preserve">De </w:t>
      </w:r>
      <w:proofErr w:type="spellStart"/>
      <w:r w:rsidR="00A75084" w:rsidRPr="009B1EE4">
        <w:t>Paolis</w:t>
      </w:r>
      <w:proofErr w:type="spellEnd"/>
      <w:r w:rsidR="00A75084" w:rsidRPr="009B1EE4">
        <w:t xml:space="preserve"> </w:t>
      </w:r>
      <w:proofErr w:type="spellStart"/>
      <w:r w:rsidR="00A75084" w:rsidRPr="009B1EE4">
        <w:t>Kaluza</w:t>
      </w:r>
      <w:proofErr w:type="spellEnd"/>
      <w:r w:rsidR="00A75084" w:rsidRPr="009B1EE4">
        <w:t xml:space="preserve"> et al., 2022; </w:t>
      </w:r>
      <w:proofErr w:type="spellStart"/>
      <w:r w:rsidR="00A75084" w:rsidRPr="009B1EE4">
        <w:t>Ngxande</w:t>
      </w:r>
      <w:proofErr w:type="spellEnd"/>
      <w:r w:rsidR="00A75084" w:rsidRPr="009B1EE4">
        <w:t xml:space="preserve"> et al., 2019</w:t>
      </w:r>
      <w:r w:rsidR="00417894" w:rsidRPr="009B1EE4">
        <w:t>)</w:t>
      </w:r>
      <w:r w:rsidRPr="009B1EE4">
        <w:t>. Sin embargo</w:t>
      </w:r>
      <w:r w:rsidR="00417894" w:rsidRPr="009B1EE4">
        <w:t xml:space="preserve">, en opinión de los </w:t>
      </w:r>
      <w:r w:rsidR="000611F2" w:rsidRPr="009B1EE4">
        <w:t>autores</w:t>
      </w:r>
      <w:r w:rsidRPr="009B1EE4">
        <w:t xml:space="preserve">, la falta de estándares universales para evaluar calidad de datos </w:t>
      </w:r>
      <w:r w:rsidR="00E22C87" w:rsidRPr="009B1EE4">
        <w:t>es</w:t>
      </w:r>
      <w:r w:rsidRPr="009B1EE4">
        <w:t xml:space="preserve"> un obstáculo.</w:t>
      </w:r>
    </w:p>
    <w:p w14:paraId="64B5D604" w14:textId="1FC58E4C" w:rsidR="00626398" w:rsidRPr="009B1EE4" w:rsidRDefault="00626398" w:rsidP="00E776F7">
      <w:pPr>
        <w:spacing w:line="360" w:lineRule="auto"/>
      </w:pPr>
      <w:r w:rsidRPr="009B1EE4">
        <w:t xml:space="preserve">Un hallazgo clave fue la creciente importancia de las auditorías algorítmicas independientes. Iniciativas como </w:t>
      </w:r>
      <w:proofErr w:type="spellStart"/>
      <w:r w:rsidRPr="009B1EE4">
        <w:t>Algorithmic</w:t>
      </w:r>
      <w:proofErr w:type="spellEnd"/>
      <w:r w:rsidRPr="009B1EE4">
        <w:t xml:space="preserve"> </w:t>
      </w:r>
      <w:proofErr w:type="spellStart"/>
      <w:r w:rsidRPr="009B1EE4">
        <w:t>Justice</w:t>
      </w:r>
      <w:proofErr w:type="spellEnd"/>
      <w:r w:rsidRPr="009B1EE4">
        <w:t xml:space="preserve"> League demostraron que las evaluaciones externas podían identificar sesgos que los desarrolladores pasaban por alto (</w:t>
      </w:r>
      <w:bookmarkStart w:id="5" w:name="_Hlk198202479"/>
      <w:r w:rsidR="004B713E" w:rsidRPr="009B1EE4">
        <w:t>Guzmán</w:t>
      </w:r>
      <w:bookmarkEnd w:id="5"/>
      <w:r w:rsidR="004B713E" w:rsidRPr="009B1EE4">
        <w:t xml:space="preserve"> et al., 2022</w:t>
      </w:r>
      <w:r w:rsidRPr="009B1EE4">
        <w:t>). No obstante, la escasa transparencia de muchas empresas tecnológicas limitó la efectividad de estas auditorías.</w:t>
      </w:r>
    </w:p>
    <w:p w14:paraId="5747D04A" w14:textId="77777777" w:rsidR="00253F14" w:rsidRDefault="00253F14" w:rsidP="00253F14">
      <w:pPr>
        <w:spacing w:line="360" w:lineRule="auto"/>
        <w:ind w:firstLine="0"/>
        <w:rPr>
          <w:b/>
          <w:bCs/>
        </w:rPr>
      </w:pPr>
    </w:p>
    <w:p w14:paraId="2EE04F31" w14:textId="05D84A05" w:rsidR="00626398" w:rsidRPr="009B1EE4" w:rsidRDefault="00626398" w:rsidP="00720F6F">
      <w:pPr>
        <w:spacing w:line="360" w:lineRule="auto"/>
        <w:ind w:firstLine="0"/>
      </w:pPr>
      <w:r w:rsidRPr="009B1EE4">
        <w:rPr>
          <w:b/>
          <w:bCs/>
        </w:rPr>
        <w:t xml:space="preserve">2. Métodos de mitigación algorítmica </w:t>
      </w:r>
      <w:r w:rsidR="00B86087">
        <w:rPr>
          <w:b/>
          <w:bCs/>
        </w:rPr>
        <w:t>[T2]</w:t>
      </w:r>
    </w:p>
    <w:p w14:paraId="6E4AC850" w14:textId="152645B5" w:rsidR="00626398" w:rsidRPr="009B1EE4" w:rsidRDefault="00417894" w:rsidP="00E776F7">
      <w:pPr>
        <w:spacing w:line="360" w:lineRule="auto"/>
      </w:pPr>
      <w:r w:rsidRPr="009B1EE4">
        <w:t>En l</w:t>
      </w:r>
      <w:r w:rsidR="00626398" w:rsidRPr="009B1EE4">
        <w:t xml:space="preserve">a literatura </w:t>
      </w:r>
      <w:r w:rsidRPr="009B1EE4">
        <w:t xml:space="preserve">se </w:t>
      </w:r>
      <w:r w:rsidR="00626398" w:rsidRPr="009B1EE4">
        <w:t>identific</w:t>
      </w:r>
      <w:r w:rsidRPr="009B1EE4">
        <w:t>an</w:t>
      </w:r>
      <w:r w:rsidR="00626398" w:rsidRPr="009B1EE4">
        <w:t xml:space="preserve"> tres enfoques principales para mitigación: preprocesamiento, </w:t>
      </w:r>
      <w:proofErr w:type="spellStart"/>
      <w:r w:rsidR="00626398" w:rsidRPr="009B1EE4">
        <w:t>in</w:t>
      </w:r>
      <w:r w:rsidR="00253F14">
        <w:t>tra</w:t>
      </w:r>
      <w:r w:rsidR="00626398" w:rsidRPr="009B1EE4">
        <w:t>procesamiento</w:t>
      </w:r>
      <w:proofErr w:type="spellEnd"/>
      <w:r w:rsidR="00626398" w:rsidRPr="009B1EE4">
        <w:t xml:space="preserve"> y posprocesamiento. Las técnicas de preprocesamiento, como rebalanceo y enriquecimiento de datos, mostraron efectividad en dominios médicos donde ciertos grupos estaban subrepresentados (</w:t>
      </w:r>
      <w:r w:rsidR="00D36D7D" w:rsidRPr="009B1EE4">
        <w:t>Royal, 2019</w:t>
      </w:r>
      <w:r w:rsidR="00626398" w:rsidRPr="009B1EE4">
        <w:t>). Sin embargo, su costo de implementación resultó prohibitivo para muchos contextos</w:t>
      </w:r>
      <w:r w:rsidRPr="009B1EE4">
        <w:t xml:space="preserve"> (</w:t>
      </w:r>
      <w:bookmarkStart w:id="6" w:name="_Hlk198202985"/>
      <w:proofErr w:type="spellStart"/>
      <w:r w:rsidR="00A75084" w:rsidRPr="009B1EE4">
        <w:t>Mazen</w:t>
      </w:r>
      <w:proofErr w:type="spellEnd"/>
      <w:r w:rsidR="00A75084" w:rsidRPr="009B1EE4">
        <w:t xml:space="preserve"> </w:t>
      </w:r>
      <w:r w:rsidR="00F71659">
        <w:t>y</w:t>
      </w:r>
      <w:r w:rsidR="00A75084" w:rsidRPr="009B1EE4">
        <w:t xml:space="preserve"> </w:t>
      </w:r>
      <w:proofErr w:type="spellStart"/>
      <w:r w:rsidR="00A75084" w:rsidRPr="009B1EE4">
        <w:t>Tong</w:t>
      </w:r>
      <w:proofErr w:type="spellEnd"/>
      <w:r w:rsidR="00A75084" w:rsidRPr="009B1EE4">
        <w:t xml:space="preserve">, 2020; </w:t>
      </w:r>
      <w:r w:rsidR="003879FB" w:rsidRPr="009B1EE4">
        <w:t>Sanabria Martínez,</w:t>
      </w:r>
      <w:bookmarkEnd w:id="6"/>
      <w:r w:rsidR="003879FB" w:rsidRPr="009B1EE4">
        <w:t xml:space="preserve"> 2022</w:t>
      </w:r>
      <w:r w:rsidRPr="009B1EE4">
        <w:t>)</w:t>
      </w:r>
      <w:r w:rsidR="00626398" w:rsidRPr="009B1EE4">
        <w:t>.</w:t>
      </w:r>
    </w:p>
    <w:p w14:paraId="45F3AA23" w14:textId="69595621" w:rsidR="00626398" w:rsidRPr="009B1EE4" w:rsidRDefault="00626398" w:rsidP="00E776F7">
      <w:pPr>
        <w:spacing w:line="360" w:lineRule="auto"/>
      </w:pPr>
      <w:r w:rsidRPr="009B1EE4">
        <w:t xml:space="preserve">Los métodos </w:t>
      </w:r>
      <w:proofErr w:type="spellStart"/>
      <w:r w:rsidRPr="009B1EE4">
        <w:t>in</w:t>
      </w:r>
      <w:r w:rsidR="00253F14">
        <w:t>tra</w:t>
      </w:r>
      <w:r w:rsidRPr="009B1EE4">
        <w:t>procesamiento</w:t>
      </w:r>
      <w:proofErr w:type="spellEnd"/>
      <w:r w:rsidR="00253F14">
        <w:t xml:space="preserve"> (</w:t>
      </w:r>
      <w:r w:rsidR="00253F14" w:rsidRPr="00253F14">
        <w:t>durante el entrenamiento del modelo</w:t>
      </w:r>
      <w:r w:rsidR="00253F14">
        <w:t>)</w:t>
      </w:r>
      <w:r w:rsidRPr="009B1EE4">
        <w:t xml:space="preserve">, particularmente </w:t>
      </w:r>
      <w:r w:rsidR="004D0953">
        <w:t>la corrección de sesgos mediante modelos adversarios (</w:t>
      </w:r>
      <w:r w:rsidR="004D0953" w:rsidRPr="009B1EE4">
        <w:rPr>
          <w:i/>
          <w:iCs/>
        </w:rPr>
        <w:t xml:space="preserve">adversarial </w:t>
      </w:r>
      <w:proofErr w:type="spellStart"/>
      <w:r w:rsidR="004D0953" w:rsidRPr="009B1EE4">
        <w:rPr>
          <w:i/>
          <w:iCs/>
        </w:rPr>
        <w:t>debiasing</w:t>
      </w:r>
      <w:proofErr w:type="spellEnd"/>
      <w:r w:rsidR="004D0953" w:rsidRPr="009B1EE4">
        <w:t>)</w:t>
      </w:r>
      <w:r w:rsidRPr="009B1EE4">
        <w:t xml:space="preserve"> y </w:t>
      </w:r>
      <w:r w:rsidR="004D0953">
        <w:t>las restricciones de equidad (</w:t>
      </w:r>
      <w:proofErr w:type="spellStart"/>
      <w:r w:rsidRPr="002E5E43">
        <w:rPr>
          <w:i/>
        </w:rPr>
        <w:t>fairness</w:t>
      </w:r>
      <w:proofErr w:type="spellEnd"/>
      <w:r w:rsidRPr="002E5E43">
        <w:rPr>
          <w:i/>
        </w:rPr>
        <w:t xml:space="preserve"> </w:t>
      </w:r>
      <w:proofErr w:type="spellStart"/>
      <w:r w:rsidRPr="002E5E43">
        <w:rPr>
          <w:i/>
        </w:rPr>
        <w:t>constraints</w:t>
      </w:r>
      <w:proofErr w:type="spellEnd"/>
      <w:r w:rsidR="004D0953" w:rsidRPr="00720F6F">
        <w:rPr>
          <w:iCs/>
        </w:rPr>
        <w:t>)</w:t>
      </w:r>
      <w:r w:rsidRPr="009B1EE4">
        <w:t>, emergieron como los más prometedores técnicamente (</w:t>
      </w:r>
      <w:r w:rsidR="00D36D7D" w:rsidRPr="009B1EE4">
        <w:t>Han et al., 2022; Shen et al., 2022</w:t>
      </w:r>
      <w:r w:rsidRPr="009B1EE4">
        <w:t xml:space="preserve">). Estos permitían optimizar simultáneamente para precisión y equidad, aunque con un costo computacional significativo. Casos como el de </w:t>
      </w:r>
      <w:r w:rsidR="00731B3D" w:rsidRPr="009B1EE4">
        <w:t xml:space="preserve">Gray (2022) </w:t>
      </w:r>
      <w:r w:rsidRPr="009B1EE4">
        <w:t>demostraron reducciones de hasta 40</w:t>
      </w:r>
      <w:r w:rsidR="00252883">
        <w:t> </w:t>
      </w:r>
      <w:r w:rsidRPr="009B1EE4">
        <w:t>% en disparidades sin afectar drásticamente el rendimiento.</w:t>
      </w:r>
    </w:p>
    <w:p w14:paraId="2FD2CAF8" w14:textId="0AFDB46D" w:rsidR="00626398" w:rsidRPr="009B1EE4" w:rsidRDefault="00626398" w:rsidP="00E776F7">
      <w:pPr>
        <w:spacing w:line="360" w:lineRule="auto"/>
      </w:pPr>
      <w:r w:rsidRPr="009B1EE4">
        <w:t>El posprocesamiento destacó por su facilidad de implementación en sistemas existentes. Técnicas como</w:t>
      </w:r>
      <w:r w:rsidR="00252883">
        <w:t xml:space="preserve"> la </w:t>
      </w:r>
      <w:r w:rsidR="00252883" w:rsidRPr="00252883">
        <w:t>revisión equitativa en zonas de incertidumbre</w:t>
      </w:r>
      <w:r w:rsidRPr="009B1EE4">
        <w:t xml:space="preserve"> </w:t>
      </w:r>
      <w:r w:rsidR="00252883">
        <w:t>(</w:t>
      </w:r>
      <w:proofErr w:type="spellStart"/>
      <w:r w:rsidRPr="002E5E43">
        <w:rPr>
          <w:i/>
        </w:rPr>
        <w:t>reject</w:t>
      </w:r>
      <w:proofErr w:type="spellEnd"/>
      <w:r w:rsidRPr="002E5E43">
        <w:rPr>
          <w:i/>
        </w:rPr>
        <w:t xml:space="preserve"> </w:t>
      </w:r>
      <w:proofErr w:type="spellStart"/>
      <w:r w:rsidRPr="002E5E43">
        <w:rPr>
          <w:i/>
        </w:rPr>
        <w:t>option</w:t>
      </w:r>
      <w:proofErr w:type="spellEnd"/>
      <w:r w:rsidRPr="002E5E43">
        <w:rPr>
          <w:i/>
        </w:rPr>
        <w:t xml:space="preserve"> </w:t>
      </w:r>
      <w:proofErr w:type="spellStart"/>
      <w:r w:rsidRPr="002E5E43">
        <w:rPr>
          <w:i/>
        </w:rPr>
        <w:t>classification</w:t>
      </w:r>
      <w:proofErr w:type="spellEnd"/>
      <w:r w:rsidR="00252883">
        <w:rPr>
          <w:iCs/>
        </w:rPr>
        <w:t>)</w:t>
      </w:r>
      <w:r w:rsidRPr="009B1EE4">
        <w:t xml:space="preserve"> mostraron utilidad en sistemas de crédito, pero enfrentaron críticas por ser </w:t>
      </w:r>
      <w:r w:rsidR="000C3A75">
        <w:t>«</w:t>
      </w:r>
      <w:r w:rsidRPr="009B1EE4">
        <w:t>parches</w:t>
      </w:r>
      <w:r w:rsidR="000C3A75">
        <w:t>»</w:t>
      </w:r>
      <w:r w:rsidRPr="009B1EE4">
        <w:t xml:space="preserve"> en lugar de soluciones estructurales</w:t>
      </w:r>
      <w:r w:rsidR="00417894" w:rsidRPr="009B1EE4">
        <w:t xml:space="preserve"> (</w:t>
      </w:r>
      <w:r w:rsidR="00D36D7D" w:rsidRPr="009B1EE4">
        <w:t>Rus et al., 2022</w:t>
      </w:r>
      <w:r w:rsidR="00417894" w:rsidRPr="009B1EE4">
        <w:t>)</w:t>
      </w:r>
      <w:r w:rsidRPr="009B1EE4">
        <w:t>. Además, su efectividad variaba significativamente según el dominio de aplicación.</w:t>
      </w:r>
    </w:p>
    <w:p w14:paraId="44C16628" w14:textId="420E49AB" w:rsidR="00626398" w:rsidRPr="009B1EE4" w:rsidRDefault="00626398" w:rsidP="00E776F7">
      <w:pPr>
        <w:spacing w:line="360" w:lineRule="auto"/>
      </w:pPr>
      <w:r w:rsidRPr="009B1EE4">
        <w:t xml:space="preserve">Un desarrollo notable fue el surgimiento de </w:t>
      </w:r>
      <w:r w:rsidR="000C3A75">
        <w:t xml:space="preserve">marcos de </w:t>
      </w:r>
      <w:r w:rsidR="00FD7472">
        <w:t>trabajo</w:t>
      </w:r>
      <w:r w:rsidRPr="009B1EE4">
        <w:t xml:space="preserve"> integrales</w:t>
      </w:r>
      <w:r w:rsidR="00FD7472">
        <w:t>,</w:t>
      </w:r>
      <w:r w:rsidRPr="009B1EE4">
        <w:t xml:space="preserve"> como </w:t>
      </w:r>
      <w:proofErr w:type="spellStart"/>
      <w:r w:rsidRPr="009B1EE4">
        <w:t>Fairlearn</w:t>
      </w:r>
      <w:proofErr w:type="spellEnd"/>
      <w:r w:rsidR="00FD7472">
        <w:t xml:space="preserve">, que combinaban múltiples enfoques, </w:t>
      </w:r>
      <w:r w:rsidR="00417894" w:rsidRPr="009B1EE4">
        <w:t>según</w:t>
      </w:r>
      <w:r w:rsidRPr="009B1EE4">
        <w:t xml:space="preserve"> </w:t>
      </w:r>
      <w:bookmarkStart w:id="7" w:name="_Hlk198202559"/>
      <w:r w:rsidR="004B713E" w:rsidRPr="009B1EE4">
        <w:t xml:space="preserve">Borges Machín </w:t>
      </w:r>
      <w:r w:rsidR="00FD7472">
        <w:t>y</w:t>
      </w:r>
      <w:r w:rsidR="004B713E" w:rsidRPr="009B1EE4">
        <w:t xml:space="preserve"> González Bravo</w:t>
      </w:r>
      <w:bookmarkEnd w:id="7"/>
      <w:r w:rsidR="004B713E" w:rsidRPr="009B1EE4">
        <w:t xml:space="preserve"> (2022)</w:t>
      </w:r>
      <w:r w:rsidRPr="009B1EE4">
        <w:t xml:space="preserve">. Estos mostraron especial valor en entornos industriales, aunque su adopción </w:t>
      </w:r>
      <w:r w:rsidR="00FD7472">
        <w:t>fue</w:t>
      </w:r>
      <w:r w:rsidRPr="009B1EE4">
        <w:t xml:space="preserve"> limitada </w:t>
      </w:r>
      <w:r w:rsidR="00FD7472">
        <w:t xml:space="preserve">por </w:t>
      </w:r>
      <w:r w:rsidRPr="009B1EE4">
        <w:t>fuera de grandes tecnológicas.</w:t>
      </w:r>
    </w:p>
    <w:p w14:paraId="075DDB77" w14:textId="77777777" w:rsidR="00FD7472" w:rsidRDefault="00FD7472" w:rsidP="00FD7472">
      <w:pPr>
        <w:spacing w:line="360" w:lineRule="auto"/>
        <w:ind w:firstLine="0"/>
        <w:rPr>
          <w:b/>
          <w:bCs/>
        </w:rPr>
      </w:pPr>
    </w:p>
    <w:p w14:paraId="4A78F31C" w14:textId="25881B14" w:rsidR="00626398" w:rsidRPr="009B1EE4" w:rsidRDefault="00626398" w:rsidP="00720F6F">
      <w:pPr>
        <w:spacing w:line="360" w:lineRule="auto"/>
        <w:ind w:firstLine="0"/>
      </w:pPr>
      <w:r w:rsidRPr="009B1EE4">
        <w:rPr>
          <w:b/>
          <w:bCs/>
        </w:rPr>
        <w:t xml:space="preserve">3. Marcos regulatorios emergentes </w:t>
      </w:r>
      <w:r w:rsidR="00B86087">
        <w:rPr>
          <w:b/>
          <w:bCs/>
        </w:rPr>
        <w:t>[T2]</w:t>
      </w:r>
    </w:p>
    <w:p w14:paraId="1D134633" w14:textId="1F0A3018" w:rsidR="00626398" w:rsidRPr="009B1EE4" w:rsidRDefault="00626398" w:rsidP="00E776F7">
      <w:pPr>
        <w:spacing w:line="360" w:lineRule="auto"/>
      </w:pPr>
      <w:r w:rsidRPr="009B1EE4">
        <w:t xml:space="preserve">El análisis identificó tres generaciones de iniciativas regulatorias entre 2018-2022. La primera, representada por los </w:t>
      </w:r>
      <w:proofErr w:type="spellStart"/>
      <w:r w:rsidRPr="002D3C4C">
        <w:rPr>
          <w:i/>
        </w:rPr>
        <w:t>Ethics</w:t>
      </w:r>
      <w:proofErr w:type="spellEnd"/>
      <w:r w:rsidRPr="002D3C4C">
        <w:rPr>
          <w:i/>
        </w:rPr>
        <w:t xml:space="preserve"> </w:t>
      </w:r>
      <w:proofErr w:type="spellStart"/>
      <w:r w:rsidRPr="002D3C4C">
        <w:rPr>
          <w:i/>
        </w:rPr>
        <w:t>Guidelines</w:t>
      </w:r>
      <w:proofErr w:type="spellEnd"/>
      <w:r w:rsidRPr="009B1EE4">
        <w:t xml:space="preserve"> de la UE</w:t>
      </w:r>
      <w:r w:rsidR="00FD7472">
        <w:t xml:space="preserve"> que,</w:t>
      </w:r>
      <w:r w:rsidR="00D36D7D" w:rsidRPr="009B1EE4">
        <w:t xml:space="preserve"> según </w:t>
      </w:r>
      <w:proofErr w:type="spellStart"/>
      <w:r w:rsidR="00D36D7D" w:rsidRPr="009B1EE4">
        <w:t>Floridi</w:t>
      </w:r>
      <w:proofErr w:type="spellEnd"/>
      <w:r w:rsidR="00D36D7D" w:rsidRPr="009B1EE4">
        <w:t xml:space="preserve"> (2019)</w:t>
      </w:r>
      <w:r w:rsidR="00FD7472">
        <w:t>,</w:t>
      </w:r>
      <w:r w:rsidRPr="009B1EE4">
        <w:t xml:space="preserve"> estableció principios </w:t>
      </w:r>
      <w:r w:rsidR="002D3C4C" w:rsidRPr="009B1EE4">
        <w:t>generales,</w:t>
      </w:r>
      <w:r w:rsidRPr="009B1EE4">
        <w:t xml:space="preserve"> pero sin mecanismos de cumplimiento. </w:t>
      </w:r>
      <w:proofErr w:type="gramStart"/>
      <w:r w:rsidR="00D36D7D" w:rsidRPr="009B1EE4">
        <w:t>De acuerdo a</w:t>
      </w:r>
      <w:proofErr w:type="gramEnd"/>
      <w:r w:rsidR="00D36D7D" w:rsidRPr="009B1EE4">
        <w:t xml:space="preserve"> </w:t>
      </w:r>
      <w:proofErr w:type="spellStart"/>
      <w:r w:rsidR="00D36D7D" w:rsidRPr="009B1EE4">
        <w:t>Yam</w:t>
      </w:r>
      <w:proofErr w:type="spellEnd"/>
      <w:r w:rsidR="00D36D7D" w:rsidRPr="009B1EE4">
        <w:t xml:space="preserve"> </w:t>
      </w:r>
      <w:r w:rsidR="00FD5F52">
        <w:t>y</w:t>
      </w:r>
      <w:r w:rsidR="00D36D7D" w:rsidRPr="009B1EE4">
        <w:t xml:space="preserve"> </w:t>
      </w:r>
      <w:proofErr w:type="spellStart"/>
      <w:r w:rsidR="00D36D7D" w:rsidRPr="009B1EE4">
        <w:t>Skorburg</w:t>
      </w:r>
      <w:proofErr w:type="spellEnd"/>
      <w:r w:rsidR="00D36D7D" w:rsidRPr="009B1EE4">
        <w:t xml:space="preserve"> (2021), l</w:t>
      </w:r>
      <w:r w:rsidRPr="009B1EE4">
        <w:t xml:space="preserve">a segunda generación, como el </w:t>
      </w:r>
      <w:proofErr w:type="spellStart"/>
      <w:r w:rsidRPr="002D3C4C">
        <w:rPr>
          <w:i/>
        </w:rPr>
        <w:t>Algorithmic</w:t>
      </w:r>
      <w:proofErr w:type="spellEnd"/>
      <w:r w:rsidRPr="002D3C4C">
        <w:rPr>
          <w:i/>
        </w:rPr>
        <w:t xml:space="preserve"> </w:t>
      </w:r>
      <w:proofErr w:type="spellStart"/>
      <w:r w:rsidRPr="002D3C4C">
        <w:rPr>
          <w:i/>
        </w:rPr>
        <w:t>Accountability</w:t>
      </w:r>
      <w:proofErr w:type="spellEnd"/>
      <w:r w:rsidRPr="002D3C4C">
        <w:rPr>
          <w:i/>
        </w:rPr>
        <w:t xml:space="preserve"> </w:t>
      </w:r>
      <w:proofErr w:type="spellStart"/>
      <w:r w:rsidRPr="002D3C4C">
        <w:rPr>
          <w:i/>
        </w:rPr>
        <w:t>Act</w:t>
      </w:r>
      <w:proofErr w:type="spellEnd"/>
      <w:r w:rsidRPr="009B1EE4">
        <w:t xml:space="preserve"> estadounidense, introdujo requisitos específicos de evaluación de impacto, aunque con limitado alcance sectorial.</w:t>
      </w:r>
    </w:p>
    <w:p w14:paraId="0778E1E1" w14:textId="116F680D" w:rsidR="00626398" w:rsidRPr="009B1EE4" w:rsidRDefault="00626398" w:rsidP="00E776F7">
      <w:pPr>
        <w:spacing w:line="360" w:lineRule="auto"/>
      </w:pPr>
      <w:r w:rsidRPr="009B1EE4">
        <w:lastRenderedPageBreak/>
        <w:t>La tercera generación mostró enfoques más innovadores, como las</w:t>
      </w:r>
      <w:r w:rsidR="00766FC8">
        <w:t xml:space="preserve"> zonas de prueba supervisadas (</w:t>
      </w:r>
      <w:proofErr w:type="spellStart"/>
      <w:r w:rsidR="00766FC8" w:rsidRPr="00C53431">
        <w:rPr>
          <w:i/>
          <w:iCs/>
        </w:rPr>
        <w:t>regulatory</w:t>
      </w:r>
      <w:proofErr w:type="spellEnd"/>
      <w:r w:rsidRPr="009B1EE4">
        <w:t xml:space="preserve"> </w:t>
      </w:r>
      <w:proofErr w:type="spellStart"/>
      <w:r w:rsidRPr="002D3C4C">
        <w:rPr>
          <w:i/>
        </w:rPr>
        <w:t>sandboxes</w:t>
      </w:r>
      <w:proofErr w:type="spellEnd"/>
      <w:r w:rsidR="00766FC8">
        <w:rPr>
          <w:iCs/>
        </w:rPr>
        <w:t>)</w:t>
      </w:r>
      <w:r w:rsidRPr="009B1EE4">
        <w:t xml:space="preserve"> del Reino Unido y las certificaciones obligatorias propuestas en Canadá (</w:t>
      </w:r>
      <w:r w:rsidR="00D42EBF" w:rsidRPr="009B1EE4">
        <w:t xml:space="preserve">Mogrovejo Andrade, 2022; </w:t>
      </w:r>
      <w:proofErr w:type="spellStart"/>
      <w:r w:rsidR="000103B7" w:rsidRPr="009B1EE4">
        <w:t>Ringe</w:t>
      </w:r>
      <w:proofErr w:type="spellEnd"/>
      <w:r w:rsidR="000103B7" w:rsidRPr="009B1EE4">
        <w:t xml:space="preserve"> </w:t>
      </w:r>
      <w:r w:rsidR="00FD5F52">
        <w:t>y</w:t>
      </w:r>
      <w:r w:rsidR="000103B7" w:rsidRPr="009B1EE4">
        <w:t xml:space="preserve"> </w:t>
      </w:r>
      <w:proofErr w:type="spellStart"/>
      <w:r w:rsidR="000103B7" w:rsidRPr="009B1EE4">
        <w:t>Ruof</w:t>
      </w:r>
      <w:proofErr w:type="spellEnd"/>
      <w:r w:rsidR="000103B7" w:rsidRPr="009B1EE4">
        <w:t>, 2020</w:t>
      </w:r>
      <w:r w:rsidRPr="009B1EE4">
        <w:t xml:space="preserve">). Estos modelos combinaban flexibilidad con exigibilidad, aunque su efectividad a largo plazo </w:t>
      </w:r>
      <w:r w:rsidR="00E22C87" w:rsidRPr="009B1EE4">
        <w:t>es</w:t>
      </w:r>
      <w:r w:rsidRPr="009B1EE4">
        <w:t xml:space="preserve"> incierta.</w:t>
      </w:r>
    </w:p>
    <w:p w14:paraId="437E35ED" w14:textId="2778E79A" w:rsidR="00626398" w:rsidRPr="009B1EE4" w:rsidRDefault="00626398" w:rsidP="00E776F7">
      <w:pPr>
        <w:spacing w:line="360" w:lineRule="auto"/>
      </w:pPr>
      <w:r w:rsidRPr="009B1EE4">
        <w:t>A nivel internacional, los principios de la OCD</w:t>
      </w:r>
      <w:r w:rsidR="00FD7472">
        <w:t>E,</w:t>
      </w:r>
      <w:r w:rsidRPr="009B1EE4">
        <w:t xml:space="preserve"> </w:t>
      </w:r>
      <w:r w:rsidR="000103B7" w:rsidRPr="009B1EE4">
        <w:t>de acuerdo con Petrenko (2020)</w:t>
      </w:r>
      <w:r w:rsidR="00FD7472">
        <w:t>,</w:t>
      </w:r>
      <w:r w:rsidRPr="009B1EE4">
        <w:t xml:space="preserve"> lograron amplia adopción, pero su implementación concreta varió significativamente entre países. Mientras la UE avanzó hacia regulación vinculante, otros países mantuvieron enfoques voluntarios, </w:t>
      </w:r>
      <w:r w:rsidR="00E22C87" w:rsidRPr="009B1EE4">
        <w:t xml:space="preserve">lo que </w:t>
      </w:r>
      <w:r w:rsidRPr="009B1EE4">
        <w:t>cre</w:t>
      </w:r>
      <w:r w:rsidR="00E22C87" w:rsidRPr="009B1EE4">
        <w:t>ó</w:t>
      </w:r>
      <w:r w:rsidRPr="009B1EE4">
        <w:t xml:space="preserve"> un panorama </w:t>
      </w:r>
      <w:r w:rsidR="00B678F4" w:rsidRPr="009B1EE4">
        <w:t>más estable (</w:t>
      </w:r>
      <w:bookmarkStart w:id="8" w:name="_Hlk198202623"/>
      <w:proofErr w:type="spellStart"/>
      <w:r w:rsidR="000103B7" w:rsidRPr="009B1EE4">
        <w:t>Balabin</w:t>
      </w:r>
      <w:proofErr w:type="spellEnd"/>
      <w:r w:rsidR="000103B7" w:rsidRPr="009B1EE4">
        <w:t xml:space="preserve">, 2019; </w:t>
      </w:r>
      <w:r w:rsidR="004B713E" w:rsidRPr="009B1EE4">
        <w:t>Gómez Cano,</w:t>
      </w:r>
      <w:bookmarkEnd w:id="8"/>
      <w:r w:rsidR="004B713E" w:rsidRPr="009B1EE4">
        <w:t xml:space="preserve"> 2022</w:t>
      </w:r>
      <w:r w:rsidR="00B678F4" w:rsidRPr="009B1EE4">
        <w:t>).</w:t>
      </w:r>
    </w:p>
    <w:p w14:paraId="5BE79FFC" w14:textId="02373079" w:rsidR="00626398" w:rsidRPr="009B1EE4" w:rsidRDefault="00626398" w:rsidP="00E776F7">
      <w:pPr>
        <w:spacing w:line="360" w:lineRule="auto"/>
      </w:pPr>
      <w:r w:rsidRPr="009B1EE4">
        <w:t xml:space="preserve">Un hallazgo crítico fue la tensión entre innovación y regulación. Estudios como los de </w:t>
      </w:r>
      <w:r w:rsidR="000103B7" w:rsidRPr="009B1EE4">
        <w:t xml:space="preserve">Sherman et al. (2020) </w:t>
      </w:r>
      <w:r w:rsidRPr="009B1EE4">
        <w:t>señalaron que marcos demasiado rígidos podían sofocar el desarrollo, mientras que los muy flexibles resultaban inefectivos. Esto llevó a propuestas de regulación adaptativa</w:t>
      </w:r>
      <w:r w:rsidR="00B678F4" w:rsidRPr="009B1EE4">
        <w:t xml:space="preserve"> </w:t>
      </w:r>
      <w:r w:rsidRPr="009B1EE4">
        <w:t>que evolucionaran con la tecnología.</w:t>
      </w:r>
    </w:p>
    <w:p w14:paraId="6FCB2766" w14:textId="77777777" w:rsidR="00FD7472" w:rsidRDefault="00FD7472" w:rsidP="00FD7472">
      <w:pPr>
        <w:spacing w:line="360" w:lineRule="auto"/>
        <w:ind w:firstLine="0"/>
        <w:rPr>
          <w:b/>
          <w:bCs/>
        </w:rPr>
      </w:pPr>
    </w:p>
    <w:p w14:paraId="5FF16D0C" w14:textId="3390AC81" w:rsidR="00626398" w:rsidRPr="009B1EE4" w:rsidRDefault="00626398" w:rsidP="00720F6F">
      <w:pPr>
        <w:spacing w:line="360" w:lineRule="auto"/>
        <w:ind w:firstLine="0"/>
      </w:pPr>
      <w:r w:rsidRPr="009B1EE4">
        <w:rPr>
          <w:b/>
          <w:bCs/>
        </w:rPr>
        <w:t xml:space="preserve">4. Desafíos en implementación real </w:t>
      </w:r>
      <w:r w:rsidR="00B86087">
        <w:rPr>
          <w:b/>
          <w:bCs/>
        </w:rPr>
        <w:t>[T2]</w:t>
      </w:r>
    </w:p>
    <w:p w14:paraId="4BF151C8" w14:textId="6382C3D9" w:rsidR="00626398" w:rsidRPr="009B1EE4" w:rsidRDefault="00626398" w:rsidP="00E776F7">
      <w:pPr>
        <w:spacing w:line="360" w:lineRule="auto"/>
      </w:pPr>
      <w:r w:rsidRPr="009B1EE4">
        <w:t xml:space="preserve">Los estudios de caso revelaron cuatro barreras principales para implementar soluciones </w:t>
      </w:r>
      <w:proofErr w:type="spellStart"/>
      <w:r w:rsidRPr="009B1EE4">
        <w:t>antisesgo</w:t>
      </w:r>
      <w:proofErr w:type="spellEnd"/>
      <w:r w:rsidRPr="009B1EE4">
        <w:t xml:space="preserve">: técnicas, organizacionales, económicas y culturales. Técnicamente, </w:t>
      </w:r>
      <w:r w:rsidR="00FD7472">
        <w:t xml:space="preserve">el equilibrio y compensación </w:t>
      </w:r>
      <w:r w:rsidRPr="009B1EE4">
        <w:t xml:space="preserve">entre equidad y rendimiento </w:t>
      </w:r>
      <w:r w:rsidR="00E22C87" w:rsidRPr="009B1EE4">
        <w:t>es</w:t>
      </w:r>
      <w:r w:rsidRPr="009B1EE4">
        <w:t xml:space="preserve"> el mayor obstáculo, particularmente en aplicaciones de alto riesgo como diagnóstico médico (</w:t>
      </w:r>
      <w:bookmarkStart w:id="9" w:name="_Hlk198202682"/>
      <w:r w:rsidR="000103B7" w:rsidRPr="009B1EE4">
        <w:t xml:space="preserve">Carter et al., 2020; </w:t>
      </w:r>
      <w:r w:rsidR="004B713E" w:rsidRPr="009B1EE4">
        <w:t>Higuera Carrillo,</w:t>
      </w:r>
      <w:bookmarkEnd w:id="9"/>
      <w:r w:rsidR="004B713E" w:rsidRPr="009B1EE4">
        <w:t xml:space="preserve"> 2022</w:t>
      </w:r>
      <w:r w:rsidRPr="009B1EE4">
        <w:t>).</w:t>
      </w:r>
    </w:p>
    <w:p w14:paraId="03DB3921" w14:textId="59B8F480" w:rsidR="00626398" w:rsidRPr="009B1EE4" w:rsidRDefault="00626398" w:rsidP="00E776F7">
      <w:pPr>
        <w:spacing w:line="360" w:lineRule="auto"/>
      </w:pPr>
      <w:r w:rsidRPr="009B1EE4">
        <w:t xml:space="preserve">Las barreras organizacionales incluyeron falta de </w:t>
      </w:r>
      <w:r w:rsidR="002D3C4C">
        <w:t>experiencia</w:t>
      </w:r>
      <w:r w:rsidRPr="009B1EE4">
        <w:t xml:space="preserve"> en equidad algorítmica y resistencia al cambio. Investigaciones como las de </w:t>
      </w:r>
      <w:r w:rsidR="00963DCC" w:rsidRPr="009B1EE4">
        <w:t>Morgan et al. (2018</w:t>
      </w:r>
      <w:r w:rsidRPr="009B1EE4">
        <w:t>) mostraron que menos del 30</w:t>
      </w:r>
      <w:r w:rsidR="00FD7472">
        <w:t> </w:t>
      </w:r>
      <w:r w:rsidRPr="009B1EE4">
        <w:t>% de las empresas tenían equipos dedicados a ética de IA,</w:t>
      </w:r>
      <w:r w:rsidR="00E22C87" w:rsidRPr="009B1EE4">
        <w:t xml:space="preserve"> al</w:t>
      </w:r>
      <w:r w:rsidRPr="009B1EE4">
        <w:t xml:space="preserve"> limita</w:t>
      </w:r>
      <w:r w:rsidR="00E22C87" w:rsidRPr="009B1EE4">
        <w:t>r</w:t>
      </w:r>
      <w:r w:rsidRPr="009B1EE4">
        <w:t xml:space="preserve"> su capacidad de implementación.</w:t>
      </w:r>
    </w:p>
    <w:p w14:paraId="0C2B67CE" w14:textId="4E23E370" w:rsidR="00626398" w:rsidRPr="009B1EE4" w:rsidRDefault="00626398" w:rsidP="00E776F7">
      <w:pPr>
        <w:spacing w:line="360" w:lineRule="auto"/>
      </w:pPr>
      <w:r w:rsidRPr="009B1EE4">
        <w:t xml:space="preserve">Económicamente, los costos de mitigación resultaron prohibitivos para pymes y países en desarrollo, </w:t>
      </w:r>
      <w:r w:rsidR="00E22C87" w:rsidRPr="009B1EE4">
        <w:t xml:space="preserve">lo que </w:t>
      </w:r>
      <w:r w:rsidRPr="009B1EE4">
        <w:t>exacerb</w:t>
      </w:r>
      <w:r w:rsidR="00E22C87" w:rsidRPr="009B1EE4">
        <w:t>ó</w:t>
      </w:r>
      <w:r w:rsidRPr="009B1EE4">
        <w:t xml:space="preserve"> desigualdades tecnológicas (</w:t>
      </w:r>
      <w:bookmarkStart w:id="10" w:name="_Hlk198202741"/>
      <w:r w:rsidR="00FD7472" w:rsidRPr="009B1EE4">
        <w:t>Yarborough, 2021</w:t>
      </w:r>
      <w:r w:rsidR="00FD7472">
        <w:t xml:space="preserve">; </w:t>
      </w:r>
      <w:r w:rsidR="004B713E" w:rsidRPr="009B1EE4">
        <w:t>Hoyos Chavarro</w:t>
      </w:r>
      <w:bookmarkEnd w:id="10"/>
      <w:r w:rsidR="004B713E" w:rsidRPr="009B1EE4">
        <w:t xml:space="preserve"> et al., 2022</w:t>
      </w:r>
      <w:r w:rsidR="00963DCC" w:rsidRPr="009B1EE4">
        <w:t>;</w:t>
      </w:r>
      <w:r w:rsidRPr="009B1EE4">
        <w:t>). Esto planteó cuestiones éticas sobre quién debía asumir estos costos.</w:t>
      </w:r>
    </w:p>
    <w:p w14:paraId="783A01E1" w14:textId="51D9230B" w:rsidR="00626398" w:rsidRPr="009B1EE4" w:rsidRDefault="00626398" w:rsidP="00E776F7">
      <w:pPr>
        <w:spacing w:line="360" w:lineRule="auto"/>
      </w:pPr>
      <w:r w:rsidRPr="009B1EE4">
        <w:t>Culturalmente, persistió una brecha entre percepciones técnicas y sociales de equidad. Mientras ingenieros priorizaban métricas cuantitativas, comunidades afectadas enfatizaban necesidades contextuales (</w:t>
      </w:r>
      <w:proofErr w:type="spellStart"/>
      <w:r w:rsidR="00001282" w:rsidRPr="009B1EE4">
        <w:t>Dobler</w:t>
      </w:r>
      <w:proofErr w:type="spellEnd"/>
      <w:r w:rsidR="00001282" w:rsidRPr="009B1EE4">
        <w:t xml:space="preserve"> et al., 2018; Kimura et al., 2021</w:t>
      </w:r>
      <w:r w:rsidRPr="009B1EE4">
        <w:t>). Este desajuste subrayó la necesidad de mayor participación comunitaria en diseño algorítmico</w:t>
      </w:r>
      <w:r w:rsidR="00E22C87" w:rsidRPr="009B1EE4">
        <w:t xml:space="preserve"> (</w:t>
      </w:r>
      <w:bookmarkStart w:id="11" w:name="_Hlk198202815"/>
      <w:r w:rsidR="003879FB" w:rsidRPr="009B1EE4">
        <w:t xml:space="preserve">Ledesma </w:t>
      </w:r>
      <w:r w:rsidR="00FD5F52">
        <w:t>y</w:t>
      </w:r>
      <w:r w:rsidR="003879FB" w:rsidRPr="009B1EE4">
        <w:t xml:space="preserve"> </w:t>
      </w:r>
      <w:proofErr w:type="spellStart"/>
      <w:r w:rsidR="003879FB" w:rsidRPr="009B1EE4">
        <w:t>Malave</w:t>
      </w:r>
      <w:proofErr w:type="spellEnd"/>
      <w:r w:rsidR="003879FB" w:rsidRPr="009B1EE4">
        <w:t>-González,</w:t>
      </w:r>
      <w:bookmarkEnd w:id="11"/>
      <w:r w:rsidR="003879FB" w:rsidRPr="009B1EE4">
        <w:t xml:space="preserve"> 2022</w:t>
      </w:r>
      <w:r w:rsidR="00E22C87" w:rsidRPr="009B1EE4">
        <w:t>)</w:t>
      </w:r>
      <w:r w:rsidRPr="009B1EE4">
        <w:t>.</w:t>
      </w:r>
    </w:p>
    <w:p w14:paraId="5F37998B" w14:textId="77A1DC7D" w:rsidR="00E776F7" w:rsidRPr="009B1EE4" w:rsidRDefault="00E776F7" w:rsidP="00720F6F">
      <w:pPr>
        <w:spacing w:line="360" w:lineRule="auto"/>
        <w:jc w:val="center"/>
      </w:pPr>
      <w:r w:rsidRPr="009B1EE4">
        <w:rPr>
          <w:b/>
          <w:bCs/>
        </w:rPr>
        <w:lastRenderedPageBreak/>
        <w:t>Discusión</w:t>
      </w:r>
      <w:r w:rsidR="00B86087">
        <w:rPr>
          <w:b/>
          <w:bCs/>
        </w:rPr>
        <w:t>[T1]</w:t>
      </w:r>
    </w:p>
    <w:p w14:paraId="730A5744" w14:textId="2EE6B7B7" w:rsidR="00E776F7" w:rsidRPr="009B1EE4" w:rsidRDefault="00E776F7" w:rsidP="00E776F7">
      <w:pPr>
        <w:spacing w:line="360" w:lineRule="auto"/>
      </w:pPr>
      <w:r w:rsidRPr="009B1EE4">
        <w:t>Los hallazgos revelan una paradoja fundamental en el campo</w:t>
      </w:r>
      <w:r w:rsidR="00FD7472">
        <w:t>.</w:t>
      </w:r>
      <w:r w:rsidRPr="009B1EE4">
        <w:t xml:space="preserve"> </w:t>
      </w:r>
      <w:r w:rsidR="00FD7472">
        <w:t>M</w:t>
      </w:r>
      <w:r w:rsidRPr="009B1EE4">
        <w:t xml:space="preserve">ientras las técnicas de detección de sesgos han alcanzado un notable nivel de sofisticación teórica, su aplicación práctica </w:t>
      </w:r>
      <w:r w:rsidR="00E22C87" w:rsidRPr="009B1EE4">
        <w:t>es</w:t>
      </w:r>
      <w:r w:rsidRPr="009B1EE4">
        <w:t xml:space="preserve"> fragmentada y con frecuencia inefectiva</w:t>
      </w:r>
      <w:r w:rsidR="00E22C87" w:rsidRPr="009B1EE4">
        <w:t xml:space="preserve"> (</w:t>
      </w:r>
      <w:r w:rsidR="00541F0B" w:rsidRPr="009B1EE4">
        <w:t>Fernández-Castilla et al., 2019</w:t>
      </w:r>
      <w:r w:rsidR="00D42EBF" w:rsidRPr="009B1EE4">
        <w:t xml:space="preserve">; </w:t>
      </w:r>
      <w:proofErr w:type="spellStart"/>
      <w:r w:rsidR="00D42EBF" w:rsidRPr="009B1EE4">
        <w:t>Langenkamp</w:t>
      </w:r>
      <w:proofErr w:type="spellEnd"/>
      <w:r w:rsidR="00D42EBF" w:rsidRPr="009B1EE4">
        <w:t xml:space="preserve"> et al., 2020</w:t>
      </w:r>
      <w:r w:rsidR="00E22C87" w:rsidRPr="009B1EE4">
        <w:t>)</w:t>
      </w:r>
      <w:r w:rsidRPr="009B1EE4">
        <w:t>. Esta brecha se explica en parte por la complejidad técnica de los métodos más avanzados, que requieren conocimientos especializados no siempre disponibles en contextos industriales</w:t>
      </w:r>
      <w:r w:rsidR="00E22C87" w:rsidRPr="009B1EE4">
        <w:t xml:space="preserve"> (</w:t>
      </w:r>
      <w:r w:rsidR="00D42EBF" w:rsidRPr="009B1EE4">
        <w:t xml:space="preserve">Heiden et al., 2019; Lin </w:t>
      </w:r>
      <w:r w:rsidR="00FD5F52">
        <w:t>y</w:t>
      </w:r>
      <w:r w:rsidR="00D42EBF" w:rsidRPr="009B1EE4">
        <w:t xml:space="preserve"> Chu, 2018</w:t>
      </w:r>
      <w:r w:rsidR="00E22C87" w:rsidRPr="009B1EE4">
        <w:t>)</w:t>
      </w:r>
      <w:r w:rsidRPr="009B1EE4">
        <w:t>. Además, la falta de consenso sobre qué métricas de equidad priorizar en diferentes dominios ha generado confusión entre desarrolladores y reguladores</w:t>
      </w:r>
      <w:r w:rsidR="00E22C87" w:rsidRPr="009B1EE4">
        <w:t xml:space="preserve"> (</w:t>
      </w:r>
      <w:r w:rsidR="00D42EBF" w:rsidRPr="009B1EE4">
        <w:t>Baros et al., 2022</w:t>
      </w:r>
      <w:r w:rsidR="00E22C87" w:rsidRPr="009B1EE4">
        <w:t>)</w:t>
      </w:r>
      <w:r w:rsidRPr="009B1EE4">
        <w:t xml:space="preserve">. </w:t>
      </w:r>
    </w:p>
    <w:p w14:paraId="6EC2B726" w14:textId="1872182D" w:rsidR="00E776F7" w:rsidRPr="009B1EE4" w:rsidRDefault="00E776F7" w:rsidP="00E776F7">
      <w:pPr>
        <w:spacing w:line="360" w:lineRule="auto"/>
      </w:pPr>
      <w:r w:rsidRPr="009B1EE4">
        <w:t xml:space="preserve">La evolución de los métodos de mitigación muestra un patrón similar de promesas teóricas frente a limitaciones prácticas. Si bien técnicas </w:t>
      </w:r>
      <w:r w:rsidR="00FD7472">
        <w:t xml:space="preserve">como la </w:t>
      </w:r>
      <w:r w:rsidR="00FD7472" w:rsidRPr="00FD7472">
        <w:t>corrección de sesgos por oposición entre modelos</w:t>
      </w:r>
      <w:r w:rsidRPr="009B1EE4">
        <w:t xml:space="preserve"> </w:t>
      </w:r>
      <w:r w:rsidR="00FD7472">
        <w:t>(</w:t>
      </w:r>
      <w:r w:rsidRPr="00720F6F">
        <w:rPr>
          <w:i/>
          <w:iCs/>
        </w:rPr>
        <w:t xml:space="preserve">adversarial </w:t>
      </w:r>
      <w:proofErr w:type="spellStart"/>
      <w:r w:rsidRPr="00720F6F">
        <w:rPr>
          <w:i/>
          <w:iCs/>
        </w:rPr>
        <w:t>debiasing</w:t>
      </w:r>
      <w:proofErr w:type="spellEnd"/>
      <w:r w:rsidR="00FD7472">
        <w:t>)</w:t>
      </w:r>
      <w:r w:rsidRPr="009B1EE4">
        <w:t xml:space="preserve"> demuestran capacidad para reducir disparidades en entornos controlados, su transferencia a sistemas reales a menudo enfrenta resistencia por l</w:t>
      </w:r>
      <w:r w:rsidR="00FD7472">
        <w:t>a</w:t>
      </w:r>
      <w:r w:rsidRPr="009B1EE4">
        <w:t xml:space="preserve">s </w:t>
      </w:r>
      <w:r w:rsidR="00FD7472">
        <w:t xml:space="preserve">compensaciones </w:t>
      </w:r>
      <w:r w:rsidRPr="009B1EE4">
        <w:t>en rendimiento y costos computacionales</w:t>
      </w:r>
      <w:r w:rsidR="00E22C87" w:rsidRPr="009B1EE4">
        <w:t xml:space="preserve"> (</w:t>
      </w:r>
      <w:r w:rsidR="00D42EBF" w:rsidRPr="009B1EE4">
        <w:t xml:space="preserve">De </w:t>
      </w:r>
      <w:proofErr w:type="spellStart"/>
      <w:r w:rsidR="00D42EBF" w:rsidRPr="009B1EE4">
        <w:t>Paolis</w:t>
      </w:r>
      <w:proofErr w:type="spellEnd"/>
      <w:r w:rsidR="00D42EBF" w:rsidRPr="009B1EE4">
        <w:t xml:space="preserve"> </w:t>
      </w:r>
      <w:proofErr w:type="spellStart"/>
      <w:r w:rsidR="00D42EBF" w:rsidRPr="009B1EE4">
        <w:t>Kaluza</w:t>
      </w:r>
      <w:proofErr w:type="spellEnd"/>
      <w:r w:rsidR="00D42EBF" w:rsidRPr="009B1EE4">
        <w:t xml:space="preserve"> et al., 2022</w:t>
      </w:r>
      <w:r w:rsidR="00E22C87" w:rsidRPr="009B1EE4">
        <w:t>)</w:t>
      </w:r>
      <w:r w:rsidRPr="009B1EE4">
        <w:t>. Este desafío se agrava en aplicaciones donde la precisión es crítica, como diagnóstico médico o evaluación crediticia, donde incluso pequeñas reducciones en exactitud pueden tener consecuencias significativas</w:t>
      </w:r>
      <w:r w:rsidR="00E22C87" w:rsidRPr="009B1EE4">
        <w:t xml:space="preserve"> (</w:t>
      </w:r>
      <w:proofErr w:type="spellStart"/>
      <w:r w:rsidR="00D42EBF" w:rsidRPr="009B1EE4">
        <w:t>Ringe</w:t>
      </w:r>
      <w:proofErr w:type="spellEnd"/>
      <w:r w:rsidR="00D42EBF" w:rsidRPr="009B1EE4">
        <w:t xml:space="preserve"> </w:t>
      </w:r>
      <w:r w:rsidR="00FD5F52">
        <w:t>y</w:t>
      </w:r>
      <w:r w:rsidR="00D42EBF" w:rsidRPr="009B1EE4">
        <w:t xml:space="preserve"> </w:t>
      </w:r>
      <w:proofErr w:type="spellStart"/>
      <w:r w:rsidR="00D42EBF" w:rsidRPr="009B1EE4">
        <w:t>Ruof</w:t>
      </w:r>
      <w:proofErr w:type="spellEnd"/>
      <w:r w:rsidR="00D42EBF" w:rsidRPr="009B1EE4">
        <w:t>, 2020; Rus et al., 2022</w:t>
      </w:r>
      <w:r w:rsidR="00E22C87" w:rsidRPr="009B1EE4">
        <w:t>)</w:t>
      </w:r>
      <w:r w:rsidRPr="009B1EE4">
        <w:t>. Curiosamente, las soluciones más adoptadas no son necesariamente las más avanzadas técnicamente, sino aquellas con mejor equilibrio entre efectividad y facilidad de implementación, como ciertas formas de posprocesamiento.</w:t>
      </w:r>
    </w:p>
    <w:p w14:paraId="3EF918ED" w14:textId="13F54C2E" w:rsidR="00E776F7" w:rsidRPr="009B1EE4" w:rsidRDefault="00E776F7" w:rsidP="00E776F7">
      <w:pPr>
        <w:spacing w:line="360" w:lineRule="auto"/>
      </w:pPr>
      <w:r w:rsidRPr="009B1EE4">
        <w:t>En el ámbito regulatorio, el análisis muestra una tensión irresuelta entre la necesidad de estándares globales y la importancia de adaptaciones locales. Los principios generales propuestos por organismos internacionales han sido cruciales para establecer un lenguaje común, pero su implementación concreta varía dramáticamente según contextos jurídicos y culturales</w:t>
      </w:r>
      <w:r w:rsidR="00E22C87" w:rsidRPr="009B1EE4">
        <w:t xml:space="preserve"> (</w:t>
      </w:r>
      <w:bookmarkStart w:id="12" w:name="_Hlk198202872"/>
      <w:proofErr w:type="spellStart"/>
      <w:r w:rsidR="00001282" w:rsidRPr="009B1EE4">
        <w:t>Kinavey</w:t>
      </w:r>
      <w:proofErr w:type="spellEnd"/>
      <w:r w:rsidR="00001282" w:rsidRPr="009B1EE4">
        <w:t xml:space="preserve"> </w:t>
      </w:r>
      <w:r w:rsidR="00FD5F52">
        <w:t>y</w:t>
      </w:r>
      <w:r w:rsidR="00001282" w:rsidRPr="009B1EE4">
        <w:t xml:space="preserve"> </w:t>
      </w:r>
      <w:proofErr w:type="spellStart"/>
      <w:r w:rsidR="00001282" w:rsidRPr="009B1EE4">
        <w:t>Cool</w:t>
      </w:r>
      <w:proofErr w:type="spellEnd"/>
      <w:r w:rsidR="00001282" w:rsidRPr="009B1EE4">
        <w:t xml:space="preserve">, 2019; </w:t>
      </w:r>
      <w:r w:rsidR="003879FB" w:rsidRPr="009B1EE4">
        <w:t>Mogrovejo Andrade,</w:t>
      </w:r>
      <w:bookmarkEnd w:id="12"/>
      <w:r w:rsidR="003879FB" w:rsidRPr="009B1EE4">
        <w:t xml:space="preserve"> 2022</w:t>
      </w:r>
      <w:r w:rsidR="00E22C87" w:rsidRPr="009B1EE4">
        <w:t>)</w:t>
      </w:r>
      <w:r w:rsidRPr="009B1EE4">
        <w:t xml:space="preserve">. Los enfoques más prometedores parecen ser aquellos que combinan requisitos básicos universales con mecanismos flexibles de adaptación sectorial, como las </w:t>
      </w:r>
      <w:r w:rsidR="00766FC8">
        <w:t>zonas de prueba supervisadas (</w:t>
      </w:r>
      <w:proofErr w:type="spellStart"/>
      <w:r w:rsidR="00766FC8" w:rsidRPr="00720F6F">
        <w:rPr>
          <w:i/>
          <w:iCs/>
        </w:rPr>
        <w:t>regulatory</w:t>
      </w:r>
      <w:proofErr w:type="spellEnd"/>
      <w:r w:rsidR="00766FC8">
        <w:t xml:space="preserve"> </w:t>
      </w:r>
      <w:proofErr w:type="spellStart"/>
      <w:r w:rsidRPr="00720F6F">
        <w:rPr>
          <w:i/>
          <w:iCs/>
        </w:rPr>
        <w:t>sandboxes</w:t>
      </w:r>
      <w:proofErr w:type="spellEnd"/>
      <w:r w:rsidR="00766FC8">
        <w:t>)</w:t>
      </w:r>
      <w:r w:rsidR="00E22C87" w:rsidRPr="009B1EE4">
        <w:t xml:space="preserve"> (</w:t>
      </w:r>
      <w:proofErr w:type="spellStart"/>
      <w:r w:rsidR="00D42EBF" w:rsidRPr="009B1EE4">
        <w:t>Ringe</w:t>
      </w:r>
      <w:proofErr w:type="spellEnd"/>
      <w:r w:rsidR="00D42EBF" w:rsidRPr="009B1EE4">
        <w:t xml:space="preserve"> </w:t>
      </w:r>
      <w:r w:rsidR="00FD5F52">
        <w:t>y</w:t>
      </w:r>
      <w:r w:rsidR="00D42EBF" w:rsidRPr="009B1EE4">
        <w:t xml:space="preserve"> </w:t>
      </w:r>
      <w:proofErr w:type="spellStart"/>
      <w:r w:rsidR="00D42EBF" w:rsidRPr="009B1EE4">
        <w:t>Ruof</w:t>
      </w:r>
      <w:proofErr w:type="spellEnd"/>
      <w:r w:rsidR="00D42EBF" w:rsidRPr="009B1EE4">
        <w:t>, 2020</w:t>
      </w:r>
      <w:r w:rsidR="00E22C87" w:rsidRPr="009B1EE4">
        <w:t>)</w:t>
      </w:r>
      <w:r w:rsidRPr="009B1EE4">
        <w:t xml:space="preserve">. Sin embargo, persiste el riesgo de que la regulación </w:t>
      </w:r>
      <w:r w:rsidR="00E22C87" w:rsidRPr="009B1EE4">
        <w:t xml:space="preserve">beneficie </w:t>
      </w:r>
      <w:r w:rsidRPr="009B1EE4">
        <w:t xml:space="preserve">a grandes empresas con recursos para cumplir requisitos complejos, mientras margina a actores más </w:t>
      </w:r>
      <w:r w:rsidR="00593FFD" w:rsidRPr="009B1EE4">
        <w:t>pequeños,</w:t>
      </w:r>
      <w:r w:rsidRPr="009B1EE4">
        <w:t xml:space="preserve"> pero potencialmente innovadores</w:t>
      </w:r>
      <w:r w:rsidR="00E22C87" w:rsidRPr="009B1EE4">
        <w:t xml:space="preserve"> (</w:t>
      </w:r>
      <w:proofErr w:type="spellStart"/>
      <w:r w:rsidR="00D42EBF" w:rsidRPr="009B1EE4">
        <w:t>Balabin</w:t>
      </w:r>
      <w:proofErr w:type="spellEnd"/>
      <w:r w:rsidR="00D42EBF" w:rsidRPr="009B1EE4">
        <w:t>, 2019; Hoyos Chavarro et al., 2022</w:t>
      </w:r>
      <w:r w:rsidR="00E22C87" w:rsidRPr="009B1EE4">
        <w:t>)</w:t>
      </w:r>
      <w:r w:rsidRPr="009B1EE4">
        <w:t>.</w:t>
      </w:r>
    </w:p>
    <w:p w14:paraId="753E1A21" w14:textId="44784A84" w:rsidR="00E776F7" w:rsidRPr="009B1EE4" w:rsidRDefault="00E776F7" w:rsidP="00E776F7">
      <w:pPr>
        <w:spacing w:line="360" w:lineRule="auto"/>
      </w:pPr>
      <w:r w:rsidRPr="009B1EE4">
        <w:lastRenderedPageBreak/>
        <w:t xml:space="preserve">Finalmente, los resultados destacan que los desafíos más persistentes no son técnicos sino </w:t>
      </w:r>
      <w:r w:rsidR="00766FC8" w:rsidRPr="009B1EE4">
        <w:t>sociotécnicos</w:t>
      </w:r>
      <w:r w:rsidRPr="009B1EE4">
        <w:t>. La efectividad de cualquier solución depende de factores que trascienden lo algorítmico: estructuras organizacionales, incentivos económicos, dinámicas de poder y comprensión cultural del concepto de equidad</w:t>
      </w:r>
      <w:r w:rsidR="00E22C87" w:rsidRPr="009B1EE4">
        <w:t xml:space="preserve"> (</w:t>
      </w:r>
      <w:bookmarkStart w:id="13" w:name="_Hlk198202938"/>
      <w:r w:rsidR="00D42EBF" w:rsidRPr="009B1EE4">
        <w:t xml:space="preserve">Kimura et al., 2021; </w:t>
      </w:r>
      <w:r w:rsidR="003879FB" w:rsidRPr="009B1EE4">
        <w:t>Orozco Castillo,</w:t>
      </w:r>
      <w:bookmarkEnd w:id="13"/>
      <w:r w:rsidR="003879FB" w:rsidRPr="009B1EE4">
        <w:t xml:space="preserve"> 2022</w:t>
      </w:r>
      <w:r w:rsidR="00E22C87" w:rsidRPr="009B1EE4">
        <w:t>)</w:t>
      </w:r>
      <w:r w:rsidRPr="009B1EE4">
        <w:t>.</w:t>
      </w:r>
      <w:r w:rsidR="00E22C87" w:rsidRPr="009B1EE4">
        <w:t xml:space="preserve"> </w:t>
      </w:r>
      <w:r w:rsidRPr="009B1EE4">
        <w:t>Esto sugiere</w:t>
      </w:r>
      <w:r w:rsidR="00E22C87" w:rsidRPr="009B1EE4">
        <w:t xml:space="preserve"> en opinión de los autores</w:t>
      </w:r>
      <w:r w:rsidRPr="009B1EE4">
        <w:t xml:space="preserve"> que el futuro del campo requiere no solo mejores herramientas técnicas, sino marcos interdisciplinares que integren perspectivas de ciencias sociales, derecho y ética aplicada desde las primeras etapas de diseño.</w:t>
      </w:r>
    </w:p>
    <w:p w14:paraId="46659EBE" w14:textId="77777777" w:rsidR="00B86087" w:rsidRDefault="00B86087" w:rsidP="00B86087">
      <w:pPr>
        <w:spacing w:line="360" w:lineRule="auto"/>
        <w:jc w:val="center"/>
        <w:rPr>
          <w:b/>
          <w:bCs/>
        </w:rPr>
      </w:pPr>
    </w:p>
    <w:p w14:paraId="3B4B8FC7" w14:textId="1E224245" w:rsidR="00E776F7" w:rsidRPr="009B1EE4" w:rsidRDefault="00E776F7" w:rsidP="00720F6F">
      <w:pPr>
        <w:spacing w:line="360" w:lineRule="auto"/>
        <w:jc w:val="center"/>
      </w:pPr>
      <w:r w:rsidRPr="009B1EE4">
        <w:rPr>
          <w:b/>
          <w:bCs/>
        </w:rPr>
        <w:t>Conclusiones</w:t>
      </w:r>
      <w:r w:rsidR="00B86087">
        <w:rPr>
          <w:b/>
          <w:bCs/>
        </w:rPr>
        <w:t>[T1]</w:t>
      </w:r>
    </w:p>
    <w:p w14:paraId="5CD79A2F" w14:textId="698C32B5" w:rsidR="00E776F7" w:rsidRPr="009B1EE4" w:rsidRDefault="00E776F7" w:rsidP="00E776F7">
      <w:pPr>
        <w:spacing w:line="360" w:lineRule="auto"/>
      </w:pPr>
      <w:r w:rsidRPr="009B1EE4">
        <w:t xml:space="preserve">El análisis evidencia que la mitigación de sesgos en IA requiere superar el enfoque puramente técnico para adoptar una perspectiva integral que combine innovación algorítmica, gobernanza adaptativa y transformación organizacional. Si bien se han logrado avances significativos en detección y mitigación de sesgos, su efectividad </w:t>
      </w:r>
      <w:r w:rsidR="00E22C87" w:rsidRPr="009B1EE4">
        <w:t>aun es</w:t>
      </w:r>
      <w:r w:rsidRPr="009B1EE4">
        <w:t xml:space="preserve"> limitada por barreras institucionales, económicas y culturales que requieren soluciones sistémicas. El camino hacia sistemas de IA más éticos y equitativos demandará mayor colaboración interdisciplinar, estándares regulatorios balanceados y mecanismos concretos de auditoría y </w:t>
      </w:r>
      <w:r w:rsidR="00766FC8">
        <w:t>rendición de cuentas (</w:t>
      </w:r>
      <w:proofErr w:type="spellStart"/>
      <w:r w:rsidRPr="00720F6F">
        <w:rPr>
          <w:i/>
          <w:iCs/>
        </w:rPr>
        <w:t>accountability</w:t>
      </w:r>
      <w:proofErr w:type="spellEnd"/>
      <w:r w:rsidR="00766FC8">
        <w:t>)</w:t>
      </w:r>
      <w:r w:rsidRPr="009B1EE4">
        <w:t xml:space="preserve"> que trasciendan los principios declarativos.</w:t>
      </w:r>
    </w:p>
    <w:p w14:paraId="5642F58F" w14:textId="148439FB" w:rsidR="00E776F7" w:rsidRDefault="00E776F7" w:rsidP="00E776F7">
      <w:pPr>
        <w:spacing w:line="360" w:lineRule="auto"/>
      </w:pPr>
      <w:r w:rsidRPr="009B1EE4">
        <w:t xml:space="preserve">La experiencia de este período sugiere que ninguna solución aislada </w:t>
      </w:r>
      <w:r w:rsidR="00766FC8">
        <w:t>(</w:t>
      </w:r>
      <w:r w:rsidRPr="009B1EE4">
        <w:t>técnica, regulatoria u organizacional</w:t>
      </w:r>
      <w:r w:rsidR="00766FC8">
        <w:t>)</w:t>
      </w:r>
      <w:r w:rsidRPr="009B1EE4">
        <w:t xml:space="preserve"> puede resolver por sí sola el complejo desafío de los sesgos algorítmicos. Futuras investigaciones deberán profundizar en enfoques holísticos que consideren desde el diseño mismo de los sistemas hasta su impacto social real, </w:t>
      </w:r>
      <w:r w:rsidR="00E22C87" w:rsidRPr="009B1EE4">
        <w:t xml:space="preserve">al </w:t>
      </w:r>
      <w:r w:rsidRPr="009B1EE4">
        <w:t>reconoc</w:t>
      </w:r>
      <w:r w:rsidR="00E22C87" w:rsidRPr="009B1EE4">
        <w:t>er</w:t>
      </w:r>
      <w:r w:rsidRPr="009B1EE4">
        <w:t xml:space="preserve"> que la equidad algorítmica es tanto un desafío tecnológico como un imperativo ético y social.</w:t>
      </w:r>
    </w:p>
    <w:p w14:paraId="01CC116D" w14:textId="77777777" w:rsidR="00766FC8" w:rsidRPr="009B1EE4" w:rsidRDefault="00766FC8" w:rsidP="00E776F7">
      <w:pPr>
        <w:spacing w:line="360" w:lineRule="auto"/>
      </w:pPr>
    </w:p>
    <w:p w14:paraId="1FD067CF" w14:textId="3EB56F6C" w:rsidR="00D42EBF" w:rsidRPr="00720F6F" w:rsidRDefault="00D42EBF" w:rsidP="00720F6F">
      <w:pPr>
        <w:spacing w:line="360" w:lineRule="auto"/>
        <w:jc w:val="center"/>
        <w:rPr>
          <w:b/>
          <w:bCs/>
          <w:lang w:val="en-US"/>
        </w:rPr>
      </w:pPr>
      <w:proofErr w:type="spellStart"/>
      <w:r w:rsidRPr="00720F6F">
        <w:rPr>
          <w:b/>
          <w:bCs/>
          <w:lang w:val="en-US"/>
        </w:rPr>
        <w:t>Referencias</w:t>
      </w:r>
      <w:proofErr w:type="spellEnd"/>
      <w:r w:rsidR="00B86087">
        <w:rPr>
          <w:b/>
          <w:bCs/>
        </w:rPr>
        <w:t>[T1]</w:t>
      </w:r>
    </w:p>
    <w:p w14:paraId="192B3164" w14:textId="77777777" w:rsidR="00D42EBF" w:rsidRPr="00277DC7" w:rsidRDefault="00D42EBF" w:rsidP="00D42EBF">
      <w:pPr>
        <w:spacing w:line="360" w:lineRule="auto"/>
        <w:ind w:left="709" w:hanging="709"/>
        <w:rPr>
          <w:rFonts w:cs="Times New Roman"/>
          <w:szCs w:val="24"/>
          <w:lang w:val="en-US"/>
        </w:rPr>
      </w:pPr>
      <w:bookmarkStart w:id="14" w:name="_Hlk198212457"/>
      <w:r w:rsidRPr="00277DC7">
        <w:rPr>
          <w:rFonts w:cs="Times New Roman"/>
          <w:szCs w:val="24"/>
          <w:lang w:val="en-US"/>
        </w:rPr>
        <w:t xml:space="preserve">Addey, </w:t>
      </w:r>
      <w:bookmarkEnd w:id="14"/>
      <w:r w:rsidRPr="00277DC7">
        <w:rPr>
          <w:rFonts w:cs="Times New Roman"/>
          <w:szCs w:val="24"/>
          <w:lang w:val="en-US"/>
        </w:rPr>
        <w:t xml:space="preserve">C. (2021). Passports to the Global South, UN flags, </w:t>
      </w:r>
      <w:proofErr w:type="spellStart"/>
      <w:r w:rsidRPr="00277DC7">
        <w:rPr>
          <w:rFonts w:cs="Times New Roman"/>
          <w:szCs w:val="24"/>
          <w:lang w:val="en-US"/>
        </w:rPr>
        <w:t>favourite</w:t>
      </w:r>
      <w:proofErr w:type="spellEnd"/>
      <w:r w:rsidRPr="00277DC7">
        <w:rPr>
          <w:rFonts w:cs="Times New Roman"/>
          <w:szCs w:val="24"/>
          <w:lang w:val="en-US"/>
        </w:rPr>
        <w:t xml:space="preserve"> experts: understanding the interplay between UNESCO and the OECD within the SDG4 context. </w:t>
      </w:r>
      <w:proofErr w:type="spellStart"/>
      <w:r w:rsidRPr="00277DC7">
        <w:rPr>
          <w:rFonts w:cs="Times New Roman"/>
          <w:i/>
          <w:iCs/>
          <w:szCs w:val="24"/>
          <w:lang w:val="en-US"/>
        </w:rPr>
        <w:t>Globalisation</w:t>
      </w:r>
      <w:proofErr w:type="spellEnd"/>
      <w:r w:rsidRPr="00277DC7">
        <w:rPr>
          <w:rFonts w:cs="Times New Roman"/>
          <w:i/>
          <w:iCs/>
          <w:szCs w:val="24"/>
          <w:lang w:val="en-US"/>
        </w:rPr>
        <w:t>, Societies and Education</w:t>
      </w:r>
      <w:r w:rsidRPr="00277DC7">
        <w:rPr>
          <w:rFonts w:cs="Times New Roman"/>
          <w:szCs w:val="24"/>
          <w:lang w:val="en-US"/>
        </w:rPr>
        <w:t xml:space="preserve">, 19, 593 - 604. </w:t>
      </w:r>
      <w:hyperlink r:id="rId17" w:tgtFrame="_blank" w:history="1">
        <w:r w:rsidRPr="00277DC7">
          <w:rPr>
            <w:rStyle w:val="Hipervnculo"/>
            <w:rFonts w:cs="Times New Roman"/>
            <w:szCs w:val="24"/>
            <w:lang w:val="en-US"/>
          </w:rPr>
          <w:t>https://doi.org/10.1080/14767724.2020.1862643</w:t>
        </w:r>
      </w:hyperlink>
    </w:p>
    <w:p w14:paraId="29127DDB" w14:textId="38269081" w:rsidR="00D42EBF" w:rsidRPr="00277DC7" w:rsidRDefault="00D42EBF" w:rsidP="00D42EBF">
      <w:pPr>
        <w:spacing w:line="360" w:lineRule="auto"/>
        <w:ind w:left="709" w:hanging="709"/>
        <w:rPr>
          <w:rFonts w:cs="Times New Roman"/>
          <w:szCs w:val="24"/>
          <w:lang w:val="en-US"/>
        </w:rPr>
      </w:pPr>
      <w:bookmarkStart w:id="15" w:name="_Hlk198214499"/>
      <w:proofErr w:type="spellStart"/>
      <w:r w:rsidRPr="00720F6F">
        <w:rPr>
          <w:rFonts w:cs="Times New Roman"/>
          <w:szCs w:val="24"/>
          <w:lang w:val="es-CO"/>
        </w:rPr>
        <w:t>Akintola</w:t>
      </w:r>
      <w:bookmarkEnd w:id="15"/>
      <w:proofErr w:type="spellEnd"/>
      <w:r w:rsidRPr="00720F6F">
        <w:rPr>
          <w:rFonts w:cs="Times New Roman"/>
          <w:szCs w:val="24"/>
          <w:lang w:val="es-CO"/>
        </w:rPr>
        <w:t xml:space="preserve">, B., </w:t>
      </w:r>
      <w:proofErr w:type="spellStart"/>
      <w:r w:rsidRPr="00720F6F">
        <w:rPr>
          <w:rFonts w:cs="Times New Roman"/>
          <w:szCs w:val="24"/>
          <w:lang w:val="es-CO"/>
        </w:rPr>
        <w:t>Jagboro</w:t>
      </w:r>
      <w:proofErr w:type="spellEnd"/>
      <w:r w:rsidRPr="00720F6F">
        <w:rPr>
          <w:rFonts w:cs="Times New Roman"/>
          <w:szCs w:val="24"/>
          <w:lang w:val="es-CO"/>
        </w:rPr>
        <w:t xml:space="preserve">, G., Ojo, G., &amp; </w:t>
      </w:r>
      <w:proofErr w:type="spellStart"/>
      <w:r w:rsidRPr="00720F6F">
        <w:rPr>
          <w:rFonts w:cs="Times New Roman"/>
          <w:szCs w:val="24"/>
          <w:lang w:val="es-CO"/>
        </w:rPr>
        <w:t>Odediran</w:t>
      </w:r>
      <w:proofErr w:type="spellEnd"/>
      <w:r w:rsidRPr="00720F6F">
        <w:rPr>
          <w:rFonts w:cs="Times New Roman"/>
          <w:szCs w:val="24"/>
          <w:lang w:val="es-CO"/>
        </w:rPr>
        <w:t xml:space="preserve">, S. (2020). </w:t>
      </w:r>
      <w:r w:rsidRPr="00277DC7">
        <w:rPr>
          <w:rFonts w:cs="Times New Roman"/>
          <w:szCs w:val="24"/>
          <w:lang w:val="en-US"/>
        </w:rPr>
        <w:t>Effectiveness of Mechanisms for Enforcement of Ethical Standards in the Construction Industry.</w:t>
      </w:r>
      <w:r w:rsidR="00602761">
        <w:rPr>
          <w:rFonts w:cs="Times New Roman"/>
          <w:szCs w:val="24"/>
          <w:lang w:val="en-US"/>
        </w:rPr>
        <w:t xml:space="preserve"> </w:t>
      </w:r>
      <w:proofErr w:type="spellStart"/>
      <w:r w:rsidR="00602761" w:rsidRPr="00602761">
        <w:rPr>
          <w:rFonts w:cs="Times New Roman"/>
          <w:i/>
          <w:iCs/>
          <w:szCs w:val="24"/>
        </w:rPr>
        <w:t>Journal</w:t>
      </w:r>
      <w:proofErr w:type="spellEnd"/>
      <w:r w:rsidR="00602761" w:rsidRPr="00602761">
        <w:rPr>
          <w:rFonts w:cs="Times New Roman"/>
          <w:i/>
          <w:iCs/>
          <w:szCs w:val="24"/>
        </w:rPr>
        <w:t xml:space="preserve"> </w:t>
      </w:r>
      <w:proofErr w:type="spellStart"/>
      <w:r w:rsidR="00602761" w:rsidRPr="00602761">
        <w:rPr>
          <w:rFonts w:cs="Times New Roman"/>
          <w:i/>
          <w:iCs/>
          <w:szCs w:val="24"/>
        </w:rPr>
        <w:t>of</w:t>
      </w:r>
      <w:proofErr w:type="spellEnd"/>
      <w:r w:rsidR="00602761" w:rsidRPr="00602761">
        <w:rPr>
          <w:rFonts w:cs="Times New Roman"/>
          <w:i/>
          <w:iCs/>
          <w:szCs w:val="24"/>
        </w:rPr>
        <w:t xml:space="preserve"> </w:t>
      </w:r>
      <w:proofErr w:type="spellStart"/>
      <w:r w:rsidR="00602761" w:rsidRPr="00602761">
        <w:rPr>
          <w:rFonts w:cs="Times New Roman"/>
          <w:i/>
          <w:iCs/>
          <w:szCs w:val="24"/>
        </w:rPr>
        <w:t>Construction</w:t>
      </w:r>
      <w:proofErr w:type="spellEnd"/>
      <w:r w:rsidR="00602761" w:rsidRPr="00602761">
        <w:rPr>
          <w:rFonts w:cs="Times New Roman"/>
          <w:i/>
          <w:iCs/>
          <w:szCs w:val="24"/>
        </w:rPr>
        <w:t xml:space="preserve"> Business and Management</w:t>
      </w:r>
      <w:r w:rsidR="00602761" w:rsidRPr="00602761">
        <w:rPr>
          <w:rFonts w:cs="Times New Roman"/>
          <w:szCs w:val="24"/>
        </w:rPr>
        <w:t>, </w:t>
      </w:r>
      <w:r w:rsidR="00602761" w:rsidRPr="00602761">
        <w:rPr>
          <w:rFonts w:cs="Times New Roman"/>
          <w:i/>
          <w:iCs/>
          <w:szCs w:val="24"/>
        </w:rPr>
        <w:t>4</w:t>
      </w:r>
      <w:r w:rsidR="00602761" w:rsidRPr="00602761">
        <w:rPr>
          <w:rFonts w:cs="Times New Roman"/>
          <w:szCs w:val="24"/>
        </w:rPr>
        <w:t>(1), 1–12.</w:t>
      </w:r>
      <w:r w:rsidRPr="00277DC7">
        <w:rPr>
          <w:rFonts w:cs="Times New Roman"/>
          <w:szCs w:val="24"/>
          <w:lang w:val="en-US"/>
        </w:rPr>
        <w:t xml:space="preserve"> </w:t>
      </w:r>
      <w:hyperlink r:id="rId18" w:tgtFrame="_blank" w:history="1">
        <w:r w:rsidRPr="00277DC7">
          <w:rPr>
            <w:rStyle w:val="Hipervnculo"/>
            <w:rFonts w:cs="Times New Roman"/>
            <w:szCs w:val="24"/>
            <w:lang w:val="en-US"/>
          </w:rPr>
          <w:t>https://doi.org/10.15641/JCBM.4.1.530</w:t>
        </w:r>
      </w:hyperlink>
    </w:p>
    <w:p w14:paraId="4572FAB2" w14:textId="7AAA4C7F" w:rsidR="00D42EBF" w:rsidRPr="00277DC7" w:rsidRDefault="00D42EBF" w:rsidP="00D42EBF">
      <w:pPr>
        <w:spacing w:line="360" w:lineRule="auto"/>
        <w:ind w:left="709" w:hanging="709"/>
        <w:rPr>
          <w:rFonts w:cs="Times New Roman"/>
          <w:szCs w:val="24"/>
          <w:lang w:val="en-US"/>
        </w:rPr>
      </w:pPr>
      <w:bookmarkStart w:id="16" w:name="_Hlk198212713"/>
      <w:r w:rsidRPr="00277DC7">
        <w:rPr>
          <w:rFonts w:cs="Times New Roman"/>
          <w:szCs w:val="24"/>
          <w:lang w:val="en-US"/>
        </w:rPr>
        <w:lastRenderedPageBreak/>
        <w:t>Auld</w:t>
      </w:r>
      <w:bookmarkEnd w:id="16"/>
      <w:r w:rsidRPr="00277DC7">
        <w:rPr>
          <w:rFonts w:cs="Times New Roman"/>
          <w:szCs w:val="24"/>
          <w:lang w:val="en-US"/>
        </w:rPr>
        <w:t xml:space="preserve">, E., Rappleye, J., &amp; Morris, P. (2018). PISA for Development: how the OECD and World Bank shaped education governance post-2015. </w:t>
      </w:r>
      <w:r w:rsidRPr="00277DC7">
        <w:rPr>
          <w:rFonts w:cs="Times New Roman"/>
          <w:i/>
          <w:iCs/>
          <w:szCs w:val="24"/>
          <w:lang w:val="en-US"/>
        </w:rPr>
        <w:t>Comparative Education</w:t>
      </w:r>
      <w:r w:rsidRPr="00277DC7">
        <w:rPr>
          <w:rFonts w:cs="Times New Roman"/>
          <w:szCs w:val="24"/>
          <w:lang w:val="en-US"/>
        </w:rPr>
        <w:t xml:space="preserve">, 55, 197 - 219. </w:t>
      </w:r>
      <w:hyperlink r:id="rId19" w:tgtFrame="_blank" w:history="1">
        <w:r w:rsidRPr="00277DC7">
          <w:rPr>
            <w:rStyle w:val="Hipervnculo"/>
            <w:rFonts w:cs="Times New Roman"/>
            <w:szCs w:val="24"/>
            <w:lang w:val="en-US"/>
          </w:rPr>
          <w:t>https://doi.org/10.1080/03050068.2018.1538635</w:t>
        </w:r>
      </w:hyperlink>
    </w:p>
    <w:p w14:paraId="67086B15" w14:textId="77777777" w:rsidR="00D42EBF" w:rsidRPr="00602761" w:rsidRDefault="00D42EBF" w:rsidP="00D42EBF">
      <w:pPr>
        <w:spacing w:line="360" w:lineRule="auto"/>
        <w:ind w:left="709" w:hanging="709"/>
        <w:rPr>
          <w:rFonts w:cs="Times New Roman"/>
          <w:szCs w:val="24"/>
          <w:lang w:val="en-US"/>
        </w:rPr>
      </w:pPr>
      <w:bookmarkStart w:id="17" w:name="_Hlk198218144"/>
      <w:proofErr w:type="spellStart"/>
      <w:r w:rsidRPr="00277DC7">
        <w:rPr>
          <w:rFonts w:cs="Times New Roman"/>
          <w:szCs w:val="24"/>
          <w:lang w:val="en-US"/>
        </w:rPr>
        <w:t>Balabin</w:t>
      </w:r>
      <w:proofErr w:type="spellEnd"/>
      <w:r w:rsidRPr="00277DC7">
        <w:rPr>
          <w:rFonts w:cs="Times New Roman"/>
          <w:szCs w:val="24"/>
          <w:lang w:val="en-US"/>
        </w:rPr>
        <w:t xml:space="preserve">, </w:t>
      </w:r>
      <w:bookmarkEnd w:id="17"/>
      <w:r w:rsidRPr="00277DC7">
        <w:rPr>
          <w:rFonts w:cs="Times New Roman"/>
          <w:szCs w:val="24"/>
          <w:lang w:val="en-US"/>
        </w:rPr>
        <w:t xml:space="preserve">A. (2019). The Implementation of Corporate Governance Standards in Large Russian Companies. </w:t>
      </w:r>
      <w:r w:rsidRPr="00277DC7">
        <w:rPr>
          <w:rFonts w:cs="Times New Roman"/>
          <w:i/>
          <w:iCs/>
          <w:szCs w:val="24"/>
          <w:lang w:val="en-US"/>
        </w:rPr>
        <w:t>Proceedings of the International Scientific Conference "Far East Con" (ISCFEC 2018)</w:t>
      </w:r>
      <w:r w:rsidRPr="00277DC7">
        <w:rPr>
          <w:rFonts w:cs="Times New Roman"/>
          <w:szCs w:val="24"/>
          <w:lang w:val="en-US"/>
        </w:rPr>
        <w:t xml:space="preserve">. </w:t>
      </w:r>
      <w:hyperlink r:id="rId20" w:tgtFrame="_blank" w:history="1">
        <w:r w:rsidRPr="00720F6F">
          <w:rPr>
            <w:rStyle w:val="Hipervnculo"/>
            <w:rFonts w:cs="Times New Roman"/>
            <w:szCs w:val="24"/>
            <w:lang w:val="es-CO"/>
          </w:rPr>
          <w:t>https://doi.org/10.2991/iscfec-18.2019.24</w:t>
        </w:r>
      </w:hyperlink>
    </w:p>
    <w:p w14:paraId="4900FE76" w14:textId="37CDE7D6" w:rsidR="00D42EBF" w:rsidRPr="00277DC7" w:rsidRDefault="00D42EBF" w:rsidP="00D42EBF">
      <w:pPr>
        <w:spacing w:line="360" w:lineRule="auto"/>
        <w:ind w:left="709" w:hanging="709"/>
        <w:rPr>
          <w:rFonts w:cs="Times New Roman"/>
          <w:szCs w:val="24"/>
          <w:lang w:val="en-US"/>
        </w:rPr>
      </w:pPr>
      <w:bookmarkStart w:id="18" w:name="_Hlk198296052"/>
      <w:r w:rsidRPr="00720F6F">
        <w:rPr>
          <w:rFonts w:cs="Times New Roman"/>
          <w:szCs w:val="24"/>
          <w:lang w:val="es-CO"/>
        </w:rPr>
        <w:t>Baros</w:t>
      </w:r>
      <w:bookmarkEnd w:id="18"/>
      <w:r w:rsidRPr="00720F6F">
        <w:rPr>
          <w:rFonts w:cs="Times New Roman"/>
          <w:szCs w:val="24"/>
          <w:lang w:val="es-CO"/>
        </w:rPr>
        <w:t xml:space="preserve">, J., </w:t>
      </w:r>
      <w:proofErr w:type="spellStart"/>
      <w:r w:rsidRPr="00720F6F">
        <w:rPr>
          <w:rFonts w:cs="Times New Roman"/>
          <w:szCs w:val="24"/>
          <w:lang w:val="es-CO"/>
        </w:rPr>
        <w:t>Sotola</w:t>
      </w:r>
      <w:proofErr w:type="spellEnd"/>
      <w:r w:rsidRPr="00720F6F">
        <w:rPr>
          <w:rFonts w:cs="Times New Roman"/>
          <w:szCs w:val="24"/>
          <w:lang w:val="es-CO"/>
        </w:rPr>
        <w:t xml:space="preserve">, V., </w:t>
      </w:r>
      <w:proofErr w:type="spellStart"/>
      <w:r w:rsidRPr="00720F6F">
        <w:rPr>
          <w:rFonts w:cs="Times New Roman"/>
          <w:szCs w:val="24"/>
          <w:lang w:val="es-CO"/>
        </w:rPr>
        <w:t>Bilik</w:t>
      </w:r>
      <w:proofErr w:type="spellEnd"/>
      <w:r w:rsidRPr="00720F6F">
        <w:rPr>
          <w:rFonts w:cs="Times New Roman"/>
          <w:szCs w:val="24"/>
          <w:lang w:val="es-CO"/>
        </w:rPr>
        <w:t xml:space="preserve">, P., </w:t>
      </w:r>
      <w:proofErr w:type="spellStart"/>
      <w:r w:rsidRPr="00720F6F">
        <w:rPr>
          <w:rFonts w:cs="Times New Roman"/>
          <w:szCs w:val="24"/>
          <w:lang w:val="es-CO"/>
        </w:rPr>
        <w:t>Martínek</w:t>
      </w:r>
      <w:proofErr w:type="spellEnd"/>
      <w:r w:rsidRPr="00720F6F">
        <w:rPr>
          <w:rFonts w:cs="Times New Roman"/>
          <w:szCs w:val="24"/>
          <w:lang w:val="es-CO"/>
        </w:rPr>
        <w:t xml:space="preserve">, R., Jaros, R., </w:t>
      </w:r>
      <w:proofErr w:type="spellStart"/>
      <w:r w:rsidRPr="00720F6F">
        <w:rPr>
          <w:rFonts w:cs="Times New Roman"/>
          <w:szCs w:val="24"/>
          <w:lang w:val="es-CO"/>
        </w:rPr>
        <w:t>Danys</w:t>
      </w:r>
      <w:proofErr w:type="spellEnd"/>
      <w:r w:rsidRPr="00720F6F">
        <w:rPr>
          <w:rFonts w:cs="Times New Roman"/>
          <w:szCs w:val="24"/>
          <w:lang w:val="es-CO"/>
        </w:rPr>
        <w:t xml:space="preserve">, L., &amp; </w:t>
      </w:r>
      <w:proofErr w:type="spellStart"/>
      <w:r w:rsidRPr="00720F6F">
        <w:rPr>
          <w:rFonts w:cs="Times New Roman"/>
          <w:szCs w:val="24"/>
          <w:lang w:val="es-CO"/>
        </w:rPr>
        <w:t>Simoník</w:t>
      </w:r>
      <w:proofErr w:type="spellEnd"/>
      <w:r w:rsidRPr="00720F6F">
        <w:rPr>
          <w:rFonts w:cs="Times New Roman"/>
          <w:szCs w:val="24"/>
          <w:lang w:val="es-CO"/>
        </w:rPr>
        <w:t xml:space="preserve">, P. (2022). </w:t>
      </w:r>
      <w:r w:rsidRPr="00277DC7">
        <w:rPr>
          <w:rFonts w:cs="Times New Roman"/>
          <w:szCs w:val="24"/>
          <w:lang w:val="en-US"/>
        </w:rPr>
        <w:t xml:space="preserve">Review of Fundamental Active Current Extraction Techniques for SAPF. </w:t>
      </w:r>
      <w:r w:rsidRPr="00277DC7">
        <w:rPr>
          <w:rFonts w:cs="Times New Roman"/>
          <w:i/>
          <w:iCs/>
          <w:szCs w:val="24"/>
          <w:lang w:val="en-US"/>
        </w:rPr>
        <w:t>Sensors (Basel, Switzerland)</w:t>
      </w:r>
      <w:r w:rsidRPr="00277DC7">
        <w:rPr>
          <w:rFonts w:cs="Times New Roman"/>
          <w:szCs w:val="24"/>
          <w:lang w:val="en-US"/>
        </w:rPr>
        <w:t xml:space="preserve">, 22. </w:t>
      </w:r>
      <w:hyperlink r:id="rId21" w:tgtFrame="_blank" w:history="1">
        <w:r w:rsidRPr="00277DC7">
          <w:rPr>
            <w:rStyle w:val="Hipervnculo"/>
            <w:rFonts w:cs="Times New Roman"/>
            <w:szCs w:val="24"/>
            <w:lang w:val="en-US"/>
          </w:rPr>
          <w:t>https://doi.org/10.3390/s22207985</w:t>
        </w:r>
      </w:hyperlink>
    </w:p>
    <w:p w14:paraId="462EDC0B" w14:textId="4102E26E" w:rsidR="00D42EBF" w:rsidRPr="00277DC7" w:rsidRDefault="00D42EBF" w:rsidP="00D42EBF">
      <w:pPr>
        <w:spacing w:line="360" w:lineRule="auto"/>
        <w:ind w:left="709" w:hanging="709"/>
        <w:rPr>
          <w:rFonts w:cs="Times New Roman"/>
          <w:szCs w:val="24"/>
          <w:lang w:val="en-US"/>
        </w:rPr>
      </w:pPr>
      <w:bookmarkStart w:id="19" w:name="_Hlk198213581"/>
      <w:proofErr w:type="spellStart"/>
      <w:r w:rsidRPr="00277DC7">
        <w:rPr>
          <w:rFonts w:cs="Times New Roman"/>
          <w:szCs w:val="24"/>
          <w:lang w:val="en-US"/>
        </w:rPr>
        <w:t>Baykurt</w:t>
      </w:r>
      <w:proofErr w:type="spellEnd"/>
      <w:r w:rsidRPr="00277DC7">
        <w:rPr>
          <w:rFonts w:cs="Times New Roman"/>
          <w:szCs w:val="24"/>
          <w:lang w:val="en-US"/>
        </w:rPr>
        <w:t>, B. (2022)</w:t>
      </w:r>
      <w:bookmarkEnd w:id="19"/>
      <w:r w:rsidRPr="00277DC7">
        <w:rPr>
          <w:rFonts w:cs="Times New Roman"/>
          <w:szCs w:val="24"/>
          <w:lang w:val="en-US"/>
        </w:rPr>
        <w:t>. Algorithmic accountability in U.</w:t>
      </w:r>
      <w:r w:rsidR="00602761">
        <w:rPr>
          <w:rFonts w:cs="Times New Roman"/>
          <w:szCs w:val="24"/>
          <w:lang w:val="en-US"/>
        </w:rPr>
        <w:t> </w:t>
      </w:r>
      <w:r w:rsidRPr="00277DC7">
        <w:rPr>
          <w:rFonts w:cs="Times New Roman"/>
          <w:szCs w:val="24"/>
          <w:lang w:val="en-US"/>
        </w:rPr>
        <w:t xml:space="preserve">S. cities: Transparency, impact, and political economy. </w:t>
      </w:r>
      <w:r w:rsidRPr="00277DC7">
        <w:rPr>
          <w:rFonts w:cs="Times New Roman"/>
          <w:i/>
          <w:iCs/>
          <w:szCs w:val="24"/>
          <w:lang w:val="en-US"/>
        </w:rPr>
        <w:t>Big Data &amp; Society</w:t>
      </w:r>
      <w:r w:rsidRPr="00277DC7">
        <w:rPr>
          <w:rFonts w:cs="Times New Roman"/>
          <w:szCs w:val="24"/>
          <w:lang w:val="en-US"/>
        </w:rPr>
        <w:t xml:space="preserve">, 9. </w:t>
      </w:r>
      <w:hyperlink r:id="rId22" w:tgtFrame="_blank" w:history="1">
        <w:r w:rsidRPr="00277DC7">
          <w:rPr>
            <w:rStyle w:val="Hipervnculo"/>
            <w:rFonts w:cs="Times New Roman"/>
            <w:szCs w:val="24"/>
            <w:lang w:val="en-US"/>
          </w:rPr>
          <w:t>https://doi.org/10.1177/20539517221115426</w:t>
        </w:r>
      </w:hyperlink>
    </w:p>
    <w:p w14:paraId="0EBC7069" w14:textId="39FEBFAD" w:rsidR="00D42EBF" w:rsidRPr="00277DC7" w:rsidRDefault="00D42EBF" w:rsidP="00D42EBF">
      <w:pPr>
        <w:spacing w:line="360" w:lineRule="auto"/>
        <w:ind w:left="709" w:hanging="709"/>
        <w:rPr>
          <w:rFonts w:cs="Times New Roman"/>
          <w:szCs w:val="24"/>
          <w:lang w:val="en-US"/>
        </w:rPr>
      </w:pPr>
      <w:r w:rsidRPr="00720F6F">
        <w:rPr>
          <w:rFonts w:cs="Times New Roman"/>
          <w:szCs w:val="24"/>
          <w:lang w:val="es-CO"/>
        </w:rPr>
        <w:t xml:space="preserve">Borges Machín, A. Y. </w:t>
      </w:r>
      <w:r w:rsidR="00FD5F52" w:rsidRPr="00720F6F">
        <w:rPr>
          <w:rFonts w:cs="Times New Roman"/>
          <w:szCs w:val="24"/>
          <w:lang w:val="es-CO"/>
        </w:rPr>
        <w:t>y</w:t>
      </w:r>
      <w:r w:rsidRPr="00720F6F">
        <w:rPr>
          <w:rFonts w:cs="Times New Roman"/>
          <w:szCs w:val="24"/>
          <w:lang w:val="es-CO"/>
        </w:rPr>
        <w:t xml:space="preserve"> González Bravo, Y. L. (2022). Educación comunitaria para un envejecimiento activo: experiencia en construcción desde el autodesarrollo. </w:t>
      </w:r>
      <w:proofErr w:type="spellStart"/>
      <w:r w:rsidRPr="00277DC7">
        <w:rPr>
          <w:rFonts w:cs="Times New Roman"/>
          <w:i/>
          <w:iCs/>
          <w:szCs w:val="24"/>
          <w:lang w:val="en-US"/>
        </w:rPr>
        <w:t>Región</w:t>
      </w:r>
      <w:proofErr w:type="spellEnd"/>
      <w:r w:rsidRPr="00277DC7">
        <w:rPr>
          <w:rFonts w:cs="Times New Roman"/>
          <w:i/>
          <w:iCs/>
          <w:szCs w:val="24"/>
          <w:lang w:val="en-US"/>
        </w:rPr>
        <w:t xml:space="preserve"> </w:t>
      </w:r>
      <w:proofErr w:type="spellStart"/>
      <w:r w:rsidRPr="00277DC7">
        <w:rPr>
          <w:rFonts w:cs="Times New Roman"/>
          <w:i/>
          <w:iCs/>
          <w:szCs w:val="24"/>
          <w:lang w:val="en-US"/>
        </w:rPr>
        <w:t>Científica</w:t>
      </w:r>
      <w:proofErr w:type="spellEnd"/>
      <w:r w:rsidRPr="00277DC7">
        <w:rPr>
          <w:rFonts w:cs="Times New Roman"/>
          <w:szCs w:val="24"/>
          <w:lang w:val="en-US"/>
        </w:rPr>
        <w:t>,</w:t>
      </w:r>
      <w:r w:rsidRPr="00277DC7">
        <w:rPr>
          <w:rFonts w:cs="Times New Roman"/>
          <w:i/>
          <w:iCs/>
          <w:szCs w:val="24"/>
          <w:lang w:val="en-US"/>
        </w:rPr>
        <w:t xml:space="preserve"> 1</w:t>
      </w:r>
      <w:r w:rsidRPr="00277DC7">
        <w:rPr>
          <w:rFonts w:cs="Times New Roman"/>
          <w:szCs w:val="24"/>
          <w:lang w:val="en-US"/>
        </w:rPr>
        <w:t xml:space="preserve">(1), 202212. </w:t>
      </w:r>
      <w:hyperlink r:id="rId23" w:history="1">
        <w:r w:rsidRPr="00277DC7">
          <w:rPr>
            <w:rStyle w:val="Hipervnculo"/>
            <w:rFonts w:cs="Times New Roman"/>
            <w:szCs w:val="24"/>
            <w:lang w:val="en-US"/>
          </w:rPr>
          <w:t>https://doi.org/10.58763/rc202213</w:t>
        </w:r>
      </w:hyperlink>
      <w:r w:rsidRPr="00277DC7">
        <w:rPr>
          <w:rFonts w:cs="Times New Roman"/>
          <w:szCs w:val="24"/>
          <w:lang w:val="en-US"/>
        </w:rPr>
        <w:t xml:space="preserve"> </w:t>
      </w:r>
    </w:p>
    <w:p w14:paraId="6E311A86" w14:textId="77777777" w:rsidR="00D42EBF" w:rsidRPr="00277DC7" w:rsidRDefault="00D42EBF" w:rsidP="00D42EBF">
      <w:pPr>
        <w:spacing w:line="360" w:lineRule="auto"/>
        <w:ind w:left="709" w:hanging="709"/>
        <w:rPr>
          <w:rFonts w:cs="Times New Roman"/>
          <w:szCs w:val="24"/>
          <w:lang w:val="en-US"/>
        </w:rPr>
      </w:pPr>
      <w:bookmarkStart w:id="20" w:name="_Hlk198213216"/>
      <w:r w:rsidRPr="00277DC7">
        <w:rPr>
          <w:rFonts w:cs="Times New Roman"/>
          <w:szCs w:val="24"/>
          <w:lang w:val="en-US"/>
        </w:rPr>
        <w:t xml:space="preserve">Busuioc, </w:t>
      </w:r>
      <w:bookmarkEnd w:id="20"/>
      <w:r w:rsidRPr="00277DC7">
        <w:rPr>
          <w:rFonts w:cs="Times New Roman"/>
          <w:szCs w:val="24"/>
          <w:lang w:val="en-US"/>
        </w:rPr>
        <w:t xml:space="preserve">M. (2020). Accountable Artificial Intelligence: Holding Algorithms to Account. </w:t>
      </w:r>
      <w:r w:rsidRPr="00277DC7">
        <w:rPr>
          <w:rFonts w:cs="Times New Roman"/>
          <w:i/>
          <w:iCs/>
          <w:szCs w:val="24"/>
          <w:lang w:val="en-US"/>
        </w:rPr>
        <w:t>Public Administration Review</w:t>
      </w:r>
      <w:r w:rsidRPr="00277DC7">
        <w:rPr>
          <w:rFonts w:cs="Times New Roman"/>
          <w:szCs w:val="24"/>
          <w:lang w:val="en-US"/>
        </w:rPr>
        <w:t xml:space="preserve">, 81, 825 - 836. </w:t>
      </w:r>
      <w:hyperlink r:id="rId24" w:tgtFrame="_blank" w:history="1">
        <w:r w:rsidRPr="00277DC7">
          <w:rPr>
            <w:rStyle w:val="Hipervnculo"/>
            <w:rFonts w:cs="Times New Roman"/>
            <w:szCs w:val="24"/>
            <w:lang w:val="en-US"/>
          </w:rPr>
          <w:t>https://doi.org/10.1111/puar.13293</w:t>
        </w:r>
      </w:hyperlink>
    </w:p>
    <w:p w14:paraId="6CD3713A" w14:textId="6130A08E" w:rsidR="00D42EBF" w:rsidRPr="00277DC7" w:rsidRDefault="00D42EBF" w:rsidP="00D42EBF">
      <w:pPr>
        <w:spacing w:line="360" w:lineRule="auto"/>
        <w:ind w:left="709" w:hanging="709"/>
        <w:rPr>
          <w:rFonts w:cs="Times New Roman"/>
          <w:szCs w:val="24"/>
          <w:lang w:val="en-US"/>
        </w:rPr>
      </w:pPr>
      <w:bookmarkStart w:id="21" w:name="_Hlk198218371"/>
      <w:r w:rsidRPr="00720F6F">
        <w:rPr>
          <w:rFonts w:cs="Times New Roman"/>
          <w:szCs w:val="24"/>
          <w:lang w:val="es-CO"/>
        </w:rPr>
        <w:t>Carter</w:t>
      </w:r>
      <w:bookmarkEnd w:id="21"/>
      <w:r w:rsidRPr="00720F6F">
        <w:rPr>
          <w:rFonts w:cs="Times New Roman"/>
          <w:szCs w:val="24"/>
          <w:lang w:val="es-CO"/>
        </w:rPr>
        <w:t xml:space="preserve">, E., </w:t>
      </w:r>
      <w:proofErr w:type="spellStart"/>
      <w:r w:rsidRPr="00720F6F">
        <w:rPr>
          <w:rFonts w:cs="Times New Roman"/>
          <w:szCs w:val="24"/>
          <w:lang w:val="es-CO"/>
        </w:rPr>
        <w:t>Onyeador</w:t>
      </w:r>
      <w:proofErr w:type="spellEnd"/>
      <w:r w:rsidRPr="00720F6F">
        <w:rPr>
          <w:rFonts w:cs="Times New Roman"/>
          <w:szCs w:val="24"/>
          <w:lang w:val="es-CO"/>
        </w:rPr>
        <w:t xml:space="preserve">, I., &amp; Lewis, N. (2020). </w:t>
      </w:r>
      <w:r w:rsidRPr="00277DC7">
        <w:rPr>
          <w:rFonts w:cs="Times New Roman"/>
          <w:szCs w:val="24"/>
          <w:lang w:val="en-US"/>
        </w:rPr>
        <w:t xml:space="preserve">Developing &amp; delivering effective anti-bias training: Challenges &amp; recommendations. </w:t>
      </w:r>
      <w:r w:rsidRPr="00277DC7">
        <w:rPr>
          <w:rFonts w:cs="Times New Roman"/>
          <w:i/>
          <w:iCs/>
          <w:szCs w:val="24"/>
          <w:lang w:val="en-US"/>
        </w:rPr>
        <w:t>Behavioral Science &amp; Policy</w:t>
      </w:r>
      <w:r w:rsidRPr="00277DC7">
        <w:rPr>
          <w:rFonts w:cs="Times New Roman"/>
          <w:szCs w:val="24"/>
          <w:lang w:val="en-US"/>
        </w:rPr>
        <w:t xml:space="preserve">, 6, 57 - 70. </w:t>
      </w:r>
      <w:hyperlink r:id="rId25" w:tgtFrame="_blank" w:history="1">
        <w:r w:rsidRPr="00277DC7">
          <w:rPr>
            <w:rStyle w:val="Hipervnculo"/>
            <w:rFonts w:cs="Times New Roman"/>
            <w:szCs w:val="24"/>
            <w:lang w:val="en-US"/>
          </w:rPr>
          <w:t>https://doi.org/10.1177/237946152000600106</w:t>
        </w:r>
      </w:hyperlink>
    </w:p>
    <w:p w14:paraId="06ABA34D" w14:textId="77777777" w:rsidR="00D42EBF" w:rsidRPr="00277DC7" w:rsidRDefault="00D42EBF" w:rsidP="00D42EBF">
      <w:pPr>
        <w:spacing w:line="360" w:lineRule="auto"/>
        <w:ind w:left="709" w:hanging="709"/>
        <w:rPr>
          <w:rFonts w:cs="Times New Roman"/>
          <w:szCs w:val="24"/>
          <w:lang w:val="en-US"/>
        </w:rPr>
      </w:pPr>
      <w:bookmarkStart w:id="22" w:name="_Hlk198215715"/>
      <w:r w:rsidRPr="00277DC7">
        <w:rPr>
          <w:rFonts w:cs="Times New Roman"/>
          <w:szCs w:val="24"/>
          <w:lang w:val="en-US"/>
        </w:rPr>
        <w:t xml:space="preserve">Chalmers, </w:t>
      </w:r>
      <w:bookmarkEnd w:id="22"/>
      <w:r w:rsidRPr="00277DC7">
        <w:rPr>
          <w:rFonts w:cs="Times New Roman"/>
          <w:szCs w:val="24"/>
          <w:lang w:val="en-US"/>
        </w:rPr>
        <w:t xml:space="preserve">P. (2018). Model-Based Measures for Detecting and Quantifying Response Bias. </w:t>
      </w:r>
      <w:r w:rsidRPr="00277DC7">
        <w:rPr>
          <w:rFonts w:cs="Times New Roman"/>
          <w:i/>
          <w:iCs/>
          <w:szCs w:val="24"/>
          <w:lang w:val="en-US"/>
        </w:rPr>
        <w:t>Psychometrika</w:t>
      </w:r>
      <w:r w:rsidRPr="00277DC7">
        <w:rPr>
          <w:rFonts w:cs="Times New Roman"/>
          <w:szCs w:val="24"/>
          <w:lang w:val="en-US"/>
        </w:rPr>
        <w:t xml:space="preserve">, 83, 696 - 732. </w:t>
      </w:r>
      <w:hyperlink r:id="rId26" w:tgtFrame="_blank" w:history="1">
        <w:r w:rsidRPr="00277DC7">
          <w:rPr>
            <w:rStyle w:val="Hipervnculo"/>
            <w:rFonts w:cs="Times New Roman"/>
            <w:szCs w:val="24"/>
            <w:lang w:val="en-US"/>
          </w:rPr>
          <w:t>https://doi.org/10.1007/s11336-018-9626-9</w:t>
        </w:r>
      </w:hyperlink>
    </w:p>
    <w:p w14:paraId="01A483BD" w14:textId="3FF78C2A" w:rsidR="00D42EBF" w:rsidRPr="00277DC7" w:rsidRDefault="00D42EBF" w:rsidP="00D42EBF">
      <w:pPr>
        <w:spacing w:line="360" w:lineRule="auto"/>
        <w:ind w:left="709" w:hanging="709"/>
        <w:rPr>
          <w:rFonts w:cs="Times New Roman"/>
          <w:szCs w:val="24"/>
          <w:lang w:val="en-US"/>
        </w:rPr>
      </w:pPr>
      <w:bookmarkStart w:id="23" w:name="_Hlk198215873"/>
      <w:r w:rsidRPr="00720F6F">
        <w:rPr>
          <w:rFonts w:cs="Times New Roman"/>
          <w:szCs w:val="24"/>
          <w:lang w:val="es-CO"/>
        </w:rPr>
        <w:t>Cruz</w:t>
      </w:r>
      <w:bookmarkEnd w:id="23"/>
      <w:r w:rsidRPr="00720F6F">
        <w:rPr>
          <w:rFonts w:cs="Times New Roman"/>
          <w:szCs w:val="24"/>
          <w:lang w:val="es-CO"/>
        </w:rPr>
        <w:t xml:space="preserve">, I., </w:t>
      </w:r>
      <w:proofErr w:type="spellStart"/>
      <w:r w:rsidRPr="00720F6F">
        <w:rPr>
          <w:rFonts w:cs="Times New Roman"/>
          <w:szCs w:val="24"/>
          <w:lang w:val="es-CO"/>
        </w:rPr>
        <w:t>Troffaes</w:t>
      </w:r>
      <w:proofErr w:type="spellEnd"/>
      <w:r w:rsidRPr="00720F6F">
        <w:rPr>
          <w:rFonts w:cs="Times New Roman"/>
          <w:szCs w:val="24"/>
          <w:lang w:val="es-CO"/>
        </w:rPr>
        <w:t xml:space="preserve">, M., </w:t>
      </w:r>
      <w:proofErr w:type="spellStart"/>
      <w:r w:rsidRPr="00720F6F">
        <w:rPr>
          <w:rFonts w:cs="Times New Roman"/>
          <w:szCs w:val="24"/>
          <w:lang w:val="es-CO"/>
        </w:rPr>
        <w:t>Lindström</w:t>
      </w:r>
      <w:proofErr w:type="spellEnd"/>
      <w:r w:rsidRPr="00720F6F">
        <w:rPr>
          <w:rFonts w:cs="Times New Roman"/>
          <w:szCs w:val="24"/>
          <w:lang w:val="es-CO"/>
        </w:rPr>
        <w:t xml:space="preserve">, J., &amp; </w:t>
      </w:r>
      <w:proofErr w:type="spellStart"/>
      <w:r w:rsidRPr="00720F6F">
        <w:rPr>
          <w:rFonts w:cs="Times New Roman"/>
          <w:szCs w:val="24"/>
          <w:lang w:val="es-CO"/>
        </w:rPr>
        <w:t>Sahlin</w:t>
      </w:r>
      <w:proofErr w:type="spellEnd"/>
      <w:r w:rsidRPr="00720F6F">
        <w:rPr>
          <w:rFonts w:cs="Times New Roman"/>
          <w:szCs w:val="24"/>
          <w:lang w:val="es-CO"/>
        </w:rPr>
        <w:t xml:space="preserve">, U. (2022). </w:t>
      </w:r>
      <w:r w:rsidRPr="00277DC7">
        <w:rPr>
          <w:rFonts w:cs="Times New Roman"/>
          <w:szCs w:val="24"/>
          <w:lang w:val="en-US"/>
        </w:rPr>
        <w:t xml:space="preserve">A robust Bayesian bias‐adjusted random effects model for consideration of uncertainty about bias terms in evidence synthesis. </w:t>
      </w:r>
      <w:r w:rsidRPr="00277DC7">
        <w:rPr>
          <w:rFonts w:cs="Times New Roman"/>
          <w:i/>
          <w:iCs/>
          <w:szCs w:val="24"/>
          <w:lang w:val="en-US"/>
        </w:rPr>
        <w:t>Statistics in Medicine</w:t>
      </w:r>
      <w:r w:rsidRPr="00277DC7">
        <w:rPr>
          <w:rFonts w:cs="Times New Roman"/>
          <w:szCs w:val="24"/>
          <w:lang w:val="en-US"/>
        </w:rPr>
        <w:t xml:space="preserve">, 41, 3365 - 3379. </w:t>
      </w:r>
      <w:hyperlink r:id="rId27" w:tgtFrame="_blank" w:history="1">
        <w:r w:rsidRPr="00277DC7">
          <w:rPr>
            <w:rStyle w:val="Hipervnculo"/>
            <w:rFonts w:cs="Times New Roman"/>
            <w:szCs w:val="24"/>
            <w:lang w:val="en-US"/>
          </w:rPr>
          <w:t>https://doi.org/10.1002/sim.9422</w:t>
        </w:r>
      </w:hyperlink>
    </w:p>
    <w:p w14:paraId="1F5E9712" w14:textId="16D22FBF" w:rsidR="00D42EBF" w:rsidRPr="00277DC7" w:rsidRDefault="00D42EBF" w:rsidP="00D42EBF">
      <w:pPr>
        <w:spacing w:line="360" w:lineRule="auto"/>
        <w:ind w:left="709" w:hanging="709"/>
        <w:rPr>
          <w:rFonts w:cs="Times New Roman"/>
          <w:szCs w:val="24"/>
          <w:lang w:val="en-US"/>
        </w:rPr>
      </w:pPr>
      <w:bookmarkStart w:id="24" w:name="_Hlk198216071"/>
      <w:r w:rsidRPr="00602761">
        <w:rPr>
          <w:rFonts w:cs="Times New Roman"/>
          <w:szCs w:val="24"/>
          <w:lang w:val="en-US"/>
        </w:rPr>
        <w:t>Czarnowska</w:t>
      </w:r>
      <w:bookmarkEnd w:id="24"/>
      <w:r w:rsidRPr="00602761">
        <w:rPr>
          <w:rFonts w:cs="Times New Roman"/>
          <w:szCs w:val="24"/>
          <w:lang w:val="en-US"/>
        </w:rPr>
        <w:t xml:space="preserve">, P., Vyas, Y., &amp; Shah, K. (2021). </w:t>
      </w:r>
      <w:r w:rsidRPr="00277DC7">
        <w:rPr>
          <w:rFonts w:cs="Times New Roman"/>
          <w:szCs w:val="24"/>
          <w:lang w:val="en-US"/>
        </w:rPr>
        <w:t xml:space="preserve">Quantifying Social Biases in NLP: A Generalization and Empirical Comparison of Extrinsic Fairness Metrics. </w:t>
      </w:r>
      <w:r w:rsidRPr="00277DC7">
        <w:rPr>
          <w:rFonts w:cs="Times New Roman"/>
          <w:i/>
          <w:iCs/>
          <w:szCs w:val="24"/>
          <w:lang w:val="en-US"/>
        </w:rPr>
        <w:t>Transactions of the Association for Computational Linguistics</w:t>
      </w:r>
      <w:r w:rsidRPr="00277DC7">
        <w:rPr>
          <w:rFonts w:cs="Times New Roman"/>
          <w:szCs w:val="24"/>
          <w:lang w:val="en-US"/>
        </w:rPr>
        <w:t xml:space="preserve">, 9, 1249-1267. </w:t>
      </w:r>
      <w:hyperlink r:id="rId28" w:tgtFrame="_blank" w:history="1">
        <w:r w:rsidRPr="00277DC7">
          <w:rPr>
            <w:rStyle w:val="Hipervnculo"/>
            <w:rFonts w:cs="Times New Roman"/>
            <w:szCs w:val="24"/>
            <w:lang w:val="en-US"/>
          </w:rPr>
          <w:t>https://doi.org/10.1162/tacl_a_00425</w:t>
        </w:r>
      </w:hyperlink>
    </w:p>
    <w:p w14:paraId="0AD643DE" w14:textId="2F8688F7" w:rsidR="00D42EBF" w:rsidRPr="00277DC7" w:rsidRDefault="00D42EBF" w:rsidP="00D42EBF">
      <w:pPr>
        <w:spacing w:line="360" w:lineRule="auto"/>
        <w:ind w:left="709" w:hanging="709"/>
        <w:rPr>
          <w:rFonts w:cs="Times New Roman"/>
          <w:szCs w:val="24"/>
          <w:lang w:val="en-US"/>
        </w:rPr>
      </w:pPr>
      <w:bookmarkStart w:id="25" w:name="_Hlk198216860"/>
      <w:r w:rsidRPr="00720F6F">
        <w:rPr>
          <w:rFonts w:cs="Times New Roman"/>
          <w:szCs w:val="24"/>
          <w:lang w:val="es-CO"/>
        </w:rPr>
        <w:t xml:space="preserve">De </w:t>
      </w:r>
      <w:proofErr w:type="spellStart"/>
      <w:r w:rsidRPr="00720F6F">
        <w:rPr>
          <w:rFonts w:cs="Times New Roman"/>
          <w:szCs w:val="24"/>
          <w:lang w:val="es-CO"/>
        </w:rPr>
        <w:t>Paolis</w:t>
      </w:r>
      <w:proofErr w:type="spellEnd"/>
      <w:r w:rsidRPr="00720F6F">
        <w:rPr>
          <w:rFonts w:cs="Times New Roman"/>
          <w:szCs w:val="24"/>
          <w:lang w:val="es-CO"/>
        </w:rPr>
        <w:t xml:space="preserve"> </w:t>
      </w:r>
      <w:proofErr w:type="spellStart"/>
      <w:r w:rsidRPr="00720F6F">
        <w:rPr>
          <w:rFonts w:cs="Times New Roman"/>
          <w:szCs w:val="24"/>
          <w:lang w:val="es-CO"/>
        </w:rPr>
        <w:t>Kaluza</w:t>
      </w:r>
      <w:bookmarkEnd w:id="25"/>
      <w:proofErr w:type="spellEnd"/>
      <w:r w:rsidRPr="00720F6F">
        <w:rPr>
          <w:rFonts w:cs="Times New Roman"/>
          <w:szCs w:val="24"/>
          <w:lang w:val="es-CO"/>
        </w:rPr>
        <w:t xml:space="preserve">, M., Jain, S., &amp; </w:t>
      </w:r>
      <w:proofErr w:type="spellStart"/>
      <w:r w:rsidRPr="00720F6F">
        <w:rPr>
          <w:rFonts w:cs="Times New Roman"/>
          <w:szCs w:val="24"/>
          <w:lang w:val="es-CO"/>
        </w:rPr>
        <w:t>Radivojac</w:t>
      </w:r>
      <w:proofErr w:type="spellEnd"/>
      <w:r w:rsidRPr="00720F6F">
        <w:rPr>
          <w:rFonts w:cs="Times New Roman"/>
          <w:szCs w:val="24"/>
          <w:lang w:val="es-CO"/>
        </w:rPr>
        <w:t xml:space="preserve">, P. (2022). </w:t>
      </w:r>
      <w:r w:rsidRPr="00277DC7">
        <w:rPr>
          <w:rFonts w:cs="Times New Roman"/>
          <w:szCs w:val="24"/>
          <w:lang w:val="en-US"/>
        </w:rPr>
        <w:t xml:space="preserve">An Approach to Identifying and Quantifying Bias in Biomedical Data. </w:t>
      </w:r>
      <w:r w:rsidRPr="00277DC7">
        <w:rPr>
          <w:rFonts w:cs="Times New Roman"/>
          <w:i/>
          <w:iCs/>
          <w:szCs w:val="24"/>
          <w:lang w:val="en-US"/>
        </w:rPr>
        <w:t xml:space="preserve">Pacific Symposium on Biocomputing. Pacific </w:t>
      </w:r>
      <w:r w:rsidRPr="00277DC7">
        <w:rPr>
          <w:rFonts w:cs="Times New Roman"/>
          <w:i/>
          <w:iCs/>
          <w:szCs w:val="24"/>
          <w:lang w:val="en-US"/>
        </w:rPr>
        <w:lastRenderedPageBreak/>
        <w:t>Symposium on Biocomputing</w:t>
      </w:r>
      <w:r w:rsidRPr="00277DC7">
        <w:rPr>
          <w:rFonts w:cs="Times New Roman"/>
          <w:szCs w:val="24"/>
          <w:lang w:val="en-US"/>
        </w:rPr>
        <w:t xml:space="preserve">, 28, 311 - 322. </w:t>
      </w:r>
      <w:hyperlink r:id="rId29" w:tgtFrame="_blank" w:history="1">
        <w:r w:rsidRPr="00277DC7">
          <w:rPr>
            <w:rStyle w:val="Hipervnculo"/>
            <w:rFonts w:cs="Times New Roman"/>
            <w:szCs w:val="24"/>
            <w:lang w:val="en-US"/>
          </w:rPr>
          <w:t>https://doi.org/10.1142/9789811270611_0029</w:t>
        </w:r>
      </w:hyperlink>
    </w:p>
    <w:p w14:paraId="58F64EB6" w14:textId="496E63FB" w:rsidR="00D42EBF" w:rsidRPr="00277DC7" w:rsidRDefault="00D42EBF" w:rsidP="00D42EBF">
      <w:pPr>
        <w:spacing w:line="360" w:lineRule="auto"/>
        <w:ind w:left="709" w:hanging="709"/>
        <w:rPr>
          <w:rFonts w:cs="Times New Roman"/>
          <w:szCs w:val="24"/>
          <w:lang w:val="en-US"/>
        </w:rPr>
      </w:pPr>
      <w:bookmarkStart w:id="26" w:name="_Hlk198216611"/>
      <w:proofErr w:type="spellStart"/>
      <w:r w:rsidRPr="00602761">
        <w:rPr>
          <w:rFonts w:cs="Times New Roman"/>
          <w:szCs w:val="24"/>
          <w:lang w:val="en-US"/>
        </w:rPr>
        <w:t>Delobelle</w:t>
      </w:r>
      <w:bookmarkEnd w:id="26"/>
      <w:proofErr w:type="spellEnd"/>
      <w:r w:rsidRPr="00602761">
        <w:rPr>
          <w:rFonts w:cs="Times New Roman"/>
          <w:szCs w:val="24"/>
          <w:lang w:val="en-US"/>
        </w:rPr>
        <w:t xml:space="preserve">, P., </w:t>
      </w:r>
      <w:proofErr w:type="spellStart"/>
      <w:r w:rsidRPr="00602761">
        <w:rPr>
          <w:rFonts w:cs="Times New Roman"/>
          <w:szCs w:val="24"/>
          <w:lang w:val="en-US"/>
        </w:rPr>
        <w:t>Tokpo</w:t>
      </w:r>
      <w:proofErr w:type="spellEnd"/>
      <w:r w:rsidRPr="00602761">
        <w:rPr>
          <w:rFonts w:cs="Times New Roman"/>
          <w:szCs w:val="24"/>
          <w:lang w:val="en-US"/>
        </w:rPr>
        <w:t xml:space="preserve">, E., </w:t>
      </w:r>
      <w:proofErr w:type="spellStart"/>
      <w:r w:rsidRPr="00602761">
        <w:rPr>
          <w:rFonts w:cs="Times New Roman"/>
          <w:szCs w:val="24"/>
          <w:lang w:val="en-US"/>
        </w:rPr>
        <w:t>Calders</w:t>
      </w:r>
      <w:proofErr w:type="spellEnd"/>
      <w:r w:rsidRPr="00602761">
        <w:rPr>
          <w:rFonts w:cs="Times New Roman"/>
          <w:szCs w:val="24"/>
          <w:lang w:val="en-US"/>
        </w:rPr>
        <w:t xml:space="preserve">, T., &amp; Berendt, B. (2022). </w:t>
      </w:r>
      <w:r w:rsidRPr="00277DC7">
        <w:rPr>
          <w:rFonts w:cs="Times New Roman"/>
          <w:szCs w:val="24"/>
          <w:lang w:val="en-US"/>
        </w:rPr>
        <w:t>Measuring Fairness with Biased Rulers: A Comparative Study on Bias Metrics for Pre-trained Language Models</w:t>
      </w:r>
      <w:proofErr w:type="gramStart"/>
      <w:r w:rsidRPr="00277DC7">
        <w:rPr>
          <w:rFonts w:cs="Times New Roman"/>
          <w:szCs w:val="24"/>
          <w:lang w:val="en-US"/>
        </w:rPr>
        <w:t>. ,</w:t>
      </w:r>
      <w:proofErr w:type="gramEnd"/>
      <w:r w:rsidRPr="00277DC7">
        <w:rPr>
          <w:rFonts w:cs="Times New Roman"/>
          <w:szCs w:val="24"/>
          <w:lang w:val="en-US"/>
        </w:rPr>
        <w:t xml:space="preserve"> 1693-1706. </w:t>
      </w:r>
      <w:hyperlink r:id="rId30" w:tgtFrame="_blank" w:history="1">
        <w:r w:rsidRPr="00277DC7">
          <w:rPr>
            <w:rStyle w:val="Hipervnculo"/>
            <w:rFonts w:cs="Times New Roman"/>
            <w:szCs w:val="24"/>
            <w:lang w:val="en-US"/>
          </w:rPr>
          <w:t>https://doi.org/10.18653/v1/2022.naacl-main.122</w:t>
        </w:r>
      </w:hyperlink>
    </w:p>
    <w:p w14:paraId="520006A3" w14:textId="4EBB7512" w:rsidR="00D42EBF" w:rsidRPr="00277DC7" w:rsidRDefault="00B34643" w:rsidP="00D42EBF">
      <w:pPr>
        <w:spacing w:line="360" w:lineRule="auto"/>
        <w:ind w:left="709" w:hanging="709"/>
        <w:rPr>
          <w:rFonts w:cs="Times New Roman"/>
          <w:szCs w:val="24"/>
          <w:lang w:val="en-US"/>
        </w:rPr>
      </w:pPr>
      <w:bookmarkStart w:id="27" w:name="_Hlk198221074"/>
      <w:r w:rsidRPr="00720F6F">
        <w:rPr>
          <w:rFonts w:cs="Times New Roman"/>
          <w:szCs w:val="24"/>
          <w:lang w:val="en-US"/>
        </w:rPr>
        <w:t>Dobler, C. C., Morrow, A. S., &amp; Kamath, C. C. (2019). Clinicians' cognitive biases: a potential barrier to implementation of evidence-based clinical practice. </w:t>
      </w:r>
      <w:r w:rsidRPr="00720F6F">
        <w:rPr>
          <w:rFonts w:cs="Times New Roman"/>
          <w:i/>
          <w:iCs/>
          <w:szCs w:val="24"/>
          <w:lang w:val="en-US"/>
        </w:rPr>
        <w:t>BMJ evidence-based medicine</w:t>
      </w:r>
      <w:r w:rsidRPr="00720F6F">
        <w:rPr>
          <w:rFonts w:cs="Times New Roman"/>
          <w:szCs w:val="24"/>
          <w:lang w:val="en-US"/>
        </w:rPr>
        <w:t>, </w:t>
      </w:r>
      <w:r w:rsidRPr="00720F6F">
        <w:rPr>
          <w:rFonts w:cs="Times New Roman"/>
          <w:i/>
          <w:iCs/>
          <w:szCs w:val="24"/>
          <w:lang w:val="en-US"/>
        </w:rPr>
        <w:t>24</w:t>
      </w:r>
      <w:r w:rsidRPr="00720F6F">
        <w:rPr>
          <w:rFonts w:cs="Times New Roman"/>
          <w:szCs w:val="24"/>
          <w:lang w:val="en-US"/>
        </w:rPr>
        <w:t>(4), 137–140. https://doi.org/10.1136/bmjebm-2018-111074</w:t>
      </w:r>
      <w:bookmarkEnd w:id="27"/>
      <w:r w:rsidR="00D42EBF" w:rsidRPr="00720F6F">
        <w:rPr>
          <w:rFonts w:cs="Times New Roman"/>
          <w:szCs w:val="24"/>
          <w:lang w:val="es-CO"/>
        </w:rPr>
        <w:t xml:space="preserve">Fernández-Castilla, B., </w:t>
      </w:r>
      <w:proofErr w:type="spellStart"/>
      <w:r w:rsidR="00D42EBF" w:rsidRPr="00720F6F">
        <w:rPr>
          <w:rFonts w:cs="Times New Roman"/>
          <w:szCs w:val="24"/>
          <w:lang w:val="es-CO"/>
        </w:rPr>
        <w:t>Declercq</w:t>
      </w:r>
      <w:proofErr w:type="spellEnd"/>
      <w:r w:rsidR="00D42EBF" w:rsidRPr="00720F6F">
        <w:rPr>
          <w:rFonts w:cs="Times New Roman"/>
          <w:szCs w:val="24"/>
          <w:lang w:val="es-CO"/>
        </w:rPr>
        <w:t xml:space="preserve">, L., </w:t>
      </w:r>
      <w:proofErr w:type="spellStart"/>
      <w:r w:rsidR="00D42EBF" w:rsidRPr="00720F6F">
        <w:rPr>
          <w:rFonts w:cs="Times New Roman"/>
          <w:szCs w:val="24"/>
          <w:lang w:val="es-CO"/>
        </w:rPr>
        <w:t>Jamshidi</w:t>
      </w:r>
      <w:proofErr w:type="spellEnd"/>
      <w:r w:rsidR="00D42EBF" w:rsidRPr="00720F6F">
        <w:rPr>
          <w:rFonts w:cs="Times New Roman"/>
          <w:szCs w:val="24"/>
          <w:lang w:val="es-CO"/>
        </w:rPr>
        <w:t xml:space="preserve">, L., </w:t>
      </w:r>
      <w:proofErr w:type="spellStart"/>
      <w:r w:rsidR="00D42EBF" w:rsidRPr="00720F6F">
        <w:rPr>
          <w:rFonts w:cs="Times New Roman"/>
          <w:szCs w:val="24"/>
          <w:lang w:val="es-CO"/>
        </w:rPr>
        <w:t>Beretvas</w:t>
      </w:r>
      <w:proofErr w:type="spellEnd"/>
      <w:r w:rsidR="00D42EBF" w:rsidRPr="00720F6F">
        <w:rPr>
          <w:rFonts w:cs="Times New Roman"/>
          <w:szCs w:val="24"/>
          <w:lang w:val="es-CO"/>
        </w:rPr>
        <w:t xml:space="preserve">, S., </w:t>
      </w:r>
      <w:proofErr w:type="spellStart"/>
      <w:r w:rsidR="00D42EBF" w:rsidRPr="00720F6F">
        <w:rPr>
          <w:rFonts w:cs="Times New Roman"/>
          <w:szCs w:val="24"/>
          <w:lang w:val="es-CO"/>
        </w:rPr>
        <w:t>Onghena</w:t>
      </w:r>
      <w:proofErr w:type="spellEnd"/>
      <w:r w:rsidR="00D42EBF" w:rsidRPr="00720F6F">
        <w:rPr>
          <w:rFonts w:cs="Times New Roman"/>
          <w:szCs w:val="24"/>
          <w:lang w:val="es-CO"/>
        </w:rPr>
        <w:t xml:space="preserve">, P., &amp; Van Den </w:t>
      </w:r>
      <w:proofErr w:type="spellStart"/>
      <w:r w:rsidR="00D42EBF" w:rsidRPr="00720F6F">
        <w:rPr>
          <w:rFonts w:cs="Times New Roman"/>
          <w:szCs w:val="24"/>
          <w:lang w:val="es-CO"/>
        </w:rPr>
        <w:t>Noortgate</w:t>
      </w:r>
      <w:proofErr w:type="spellEnd"/>
      <w:r w:rsidR="00D42EBF" w:rsidRPr="00720F6F">
        <w:rPr>
          <w:rFonts w:cs="Times New Roman"/>
          <w:szCs w:val="24"/>
          <w:lang w:val="es-CO"/>
        </w:rPr>
        <w:t xml:space="preserve">, W. (2019). </w:t>
      </w:r>
      <w:r w:rsidR="00D42EBF" w:rsidRPr="00277DC7">
        <w:rPr>
          <w:rFonts w:cs="Times New Roman"/>
          <w:szCs w:val="24"/>
          <w:lang w:val="en-US"/>
        </w:rPr>
        <w:t xml:space="preserve">Detecting Selection Bias in Meta-Analyses with Multiple Outcomes: A Simulation Study. </w:t>
      </w:r>
      <w:r w:rsidR="00D42EBF" w:rsidRPr="00277DC7">
        <w:rPr>
          <w:rFonts w:cs="Times New Roman"/>
          <w:i/>
          <w:iCs/>
          <w:szCs w:val="24"/>
          <w:lang w:val="en-US"/>
        </w:rPr>
        <w:t>The Journal of Experimental Education</w:t>
      </w:r>
      <w:r w:rsidR="00D42EBF" w:rsidRPr="00277DC7">
        <w:rPr>
          <w:rFonts w:cs="Times New Roman"/>
          <w:szCs w:val="24"/>
          <w:lang w:val="en-US"/>
        </w:rPr>
        <w:t xml:space="preserve">, 89, 125 - 144. </w:t>
      </w:r>
      <w:hyperlink r:id="rId31" w:tgtFrame="_blank" w:history="1">
        <w:r w:rsidR="00D42EBF" w:rsidRPr="00277DC7">
          <w:rPr>
            <w:rStyle w:val="Hipervnculo"/>
            <w:rFonts w:cs="Times New Roman"/>
            <w:szCs w:val="24"/>
            <w:lang w:val="en-US"/>
          </w:rPr>
          <w:t>https://doi.org/10.1080/00220973.2019.1582470</w:t>
        </w:r>
      </w:hyperlink>
    </w:p>
    <w:p w14:paraId="660B7E0B" w14:textId="77777777" w:rsidR="00D42EBF" w:rsidRPr="00720F6F" w:rsidRDefault="00D42EBF" w:rsidP="00D42EBF">
      <w:pPr>
        <w:spacing w:line="360" w:lineRule="auto"/>
        <w:ind w:left="709" w:hanging="709"/>
        <w:rPr>
          <w:rFonts w:cs="Times New Roman"/>
          <w:szCs w:val="24"/>
          <w:lang w:val="fr-FR"/>
        </w:rPr>
      </w:pPr>
      <w:bookmarkStart w:id="28" w:name="_Hlk198217545"/>
      <w:proofErr w:type="spellStart"/>
      <w:r w:rsidRPr="00277DC7">
        <w:rPr>
          <w:rFonts w:cs="Times New Roman"/>
          <w:szCs w:val="24"/>
          <w:lang w:val="en-US"/>
        </w:rPr>
        <w:t>Floridi</w:t>
      </w:r>
      <w:proofErr w:type="spellEnd"/>
      <w:r w:rsidRPr="00277DC7">
        <w:rPr>
          <w:rFonts w:cs="Times New Roman"/>
          <w:szCs w:val="24"/>
          <w:lang w:val="en-US"/>
        </w:rPr>
        <w:t>, L. (2019)</w:t>
      </w:r>
      <w:bookmarkEnd w:id="28"/>
      <w:r w:rsidRPr="00277DC7">
        <w:rPr>
          <w:rFonts w:cs="Times New Roman"/>
          <w:szCs w:val="24"/>
          <w:lang w:val="en-US"/>
        </w:rPr>
        <w:t xml:space="preserve">. Establishing the rules for building trustworthy AI. </w:t>
      </w:r>
      <w:r w:rsidRPr="00720F6F">
        <w:rPr>
          <w:rFonts w:cs="Times New Roman"/>
          <w:i/>
          <w:iCs/>
          <w:szCs w:val="24"/>
          <w:lang w:val="fr-FR"/>
        </w:rPr>
        <w:t>Nature Machine Intelligence</w:t>
      </w:r>
      <w:r w:rsidRPr="00720F6F">
        <w:rPr>
          <w:rFonts w:cs="Times New Roman"/>
          <w:szCs w:val="24"/>
          <w:lang w:val="fr-FR"/>
        </w:rPr>
        <w:t xml:space="preserve">, 1, 261-262. </w:t>
      </w:r>
      <w:hyperlink r:id="rId32" w:tgtFrame="_blank" w:history="1">
        <w:r w:rsidRPr="00720F6F">
          <w:rPr>
            <w:rStyle w:val="Hipervnculo"/>
            <w:rFonts w:cs="Times New Roman"/>
            <w:szCs w:val="24"/>
            <w:lang w:val="fr-FR"/>
          </w:rPr>
          <w:t>https://doi.org/10.1038/S42256-019-0055-Y</w:t>
        </w:r>
      </w:hyperlink>
    </w:p>
    <w:p w14:paraId="61EF5C3D" w14:textId="159D3C9C" w:rsidR="00D42EBF" w:rsidRPr="00720F6F" w:rsidRDefault="00D42EBF" w:rsidP="00D42EBF">
      <w:pPr>
        <w:spacing w:line="360" w:lineRule="auto"/>
        <w:ind w:left="709" w:hanging="709"/>
        <w:rPr>
          <w:rFonts w:cs="Times New Roman"/>
          <w:szCs w:val="24"/>
          <w:lang w:val="es-CO"/>
        </w:rPr>
      </w:pPr>
      <w:bookmarkStart w:id="29" w:name="_Hlk198216515"/>
      <w:r w:rsidRPr="00720F6F">
        <w:rPr>
          <w:rFonts w:cs="Times New Roman"/>
          <w:szCs w:val="24"/>
          <w:lang w:val="fr-FR"/>
        </w:rPr>
        <w:t>Goldfarb-Tarrant</w:t>
      </w:r>
      <w:bookmarkEnd w:id="29"/>
      <w:r w:rsidRPr="00720F6F">
        <w:rPr>
          <w:rFonts w:cs="Times New Roman"/>
          <w:szCs w:val="24"/>
          <w:lang w:val="fr-FR"/>
        </w:rPr>
        <w:t xml:space="preserve">, S., Marchant, R., Sánchez, R., Pandya, M., &amp; Lopez, A. (2020). </w:t>
      </w:r>
      <w:r w:rsidRPr="00277DC7">
        <w:rPr>
          <w:rFonts w:cs="Times New Roman"/>
          <w:szCs w:val="24"/>
          <w:lang w:val="en-US"/>
        </w:rPr>
        <w:t xml:space="preserve">Intrinsic Bias Metrics Do Not Correlate with Application Bias. </w:t>
      </w:r>
      <w:proofErr w:type="spellStart"/>
      <w:r w:rsidRPr="00277DC7">
        <w:rPr>
          <w:rFonts w:cs="Times New Roman"/>
          <w:i/>
          <w:iCs/>
          <w:szCs w:val="24"/>
          <w:lang w:val="en-US"/>
        </w:rPr>
        <w:t>ArXiv</w:t>
      </w:r>
      <w:proofErr w:type="spellEnd"/>
      <w:r w:rsidRPr="00277DC7">
        <w:rPr>
          <w:rFonts w:cs="Times New Roman"/>
          <w:szCs w:val="24"/>
          <w:lang w:val="en-US"/>
        </w:rPr>
        <w:t xml:space="preserve">, abs/2012.15859. </w:t>
      </w:r>
      <w:hyperlink r:id="rId33" w:tgtFrame="_blank" w:history="1">
        <w:r w:rsidRPr="00720F6F">
          <w:rPr>
            <w:rStyle w:val="Hipervnculo"/>
            <w:rFonts w:cs="Times New Roman"/>
            <w:szCs w:val="24"/>
            <w:lang w:val="es-CO"/>
          </w:rPr>
          <w:t>https://doi.org/10.18653/v1/2021.acl-long.150</w:t>
        </w:r>
      </w:hyperlink>
    </w:p>
    <w:p w14:paraId="36B26DBF" w14:textId="77777777" w:rsidR="00D42EBF" w:rsidRPr="00720F6F" w:rsidRDefault="00D42EBF" w:rsidP="00D42EBF">
      <w:pPr>
        <w:spacing w:line="360" w:lineRule="auto"/>
        <w:ind w:left="709" w:hanging="709"/>
        <w:rPr>
          <w:rFonts w:cs="Times New Roman"/>
          <w:szCs w:val="24"/>
          <w:lang w:val="es-CO"/>
        </w:rPr>
      </w:pPr>
      <w:r w:rsidRPr="00720F6F">
        <w:rPr>
          <w:rFonts w:cs="Times New Roman"/>
          <w:szCs w:val="24"/>
          <w:lang w:val="es-CO"/>
        </w:rPr>
        <w:t xml:space="preserve">Gómez Cano, C. A. (2022). Ingreso, permanencia y estrategias para el fomento de los Semilleros de Investigación en una IES de Colombia. </w:t>
      </w:r>
      <w:r w:rsidRPr="00720F6F">
        <w:rPr>
          <w:rFonts w:cs="Times New Roman"/>
          <w:i/>
          <w:iCs/>
          <w:szCs w:val="24"/>
          <w:lang w:val="es-CO"/>
        </w:rPr>
        <w:t>Región Científica</w:t>
      </w:r>
      <w:r w:rsidRPr="00720F6F">
        <w:rPr>
          <w:rFonts w:cs="Times New Roman"/>
          <w:szCs w:val="24"/>
          <w:lang w:val="es-CO"/>
        </w:rPr>
        <w:t>,</w:t>
      </w:r>
      <w:r w:rsidRPr="00720F6F">
        <w:rPr>
          <w:rFonts w:cs="Times New Roman"/>
          <w:i/>
          <w:iCs/>
          <w:szCs w:val="24"/>
          <w:lang w:val="es-CO"/>
        </w:rPr>
        <w:t xml:space="preserve"> 1</w:t>
      </w:r>
      <w:r w:rsidRPr="00720F6F">
        <w:rPr>
          <w:rFonts w:cs="Times New Roman"/>
          <w:szCs w:val="24"/>
          <w:lang w:val="es-CO"/>
        </w:rPr>
        <w:t xml:space="preserve">(1), 20226. </w:t>
      </w:r>
      <w:hyperlink r:id="rId34" w:history="1">
        <w:r w:rsidRPr="00720F6F">
          <w:rPr>
            <w:rStyle w:val="Hipervnculo"/>
            <w:rFonts w:cs="Times New Roman"/>
            <w:szCs w:val="24"/>
            <w:lang w:val="es-CO"/>
          </w:rPr>
          <w:t>https://doi.org/10.58763/rc20226</w:t>
        </w:r>
      </w:hyperlink>
      <w:r w:rsidRPr="00720F6F">
        <w:rPr>
          <w:rFonts w:cs="Times New Roman"/>
          <w:szCs w:val="24"/>
          <w:lang w:val="es-CO"/>
        </w:rPr>
        <w:t xml:space="preserve"> </w:t>
      </w:r>
    </w:p>
    <w:p w14:paraId="76290D34" w14:textId="77777777" w:rsidR="00D42EBF" w:rsidRPr="00720F6F" w:rsidRDefault="00D42EBF" w:rsidP="00D42EBF">
      <w:pPr>
        <w:spacing w:line="360" w:lineRule="auto"/>
        <w:ind w:left="709" w:hanging="709"/>
        <w:rPr>
          <w:rFonts w:cs="Times New Roman"/>
          <w:szCs w:val="24"/>
          <w:lang w:val="es-CO"/>
        </w:rPr>
      </w:pPr>
      <w:r w:rsidRPr="00720F6F">
        <w:rPr>
          <w:rFonts w:cs="Times New Roman"/>
          <w:szCs w:val="24"/>
          <w:lang w:val="es-CO"/>
        </w:rPr>
        <w:t xml:space="preserve">Gómez Miranda, O. M. (2022). La franquicia: de la inversión al emprendimiento. </w:t>
      </w:r>
      <w:r w:rsidRPr="00720F6F">
        <w:rPr>
          <w:rFonts w:cs="Times New Roman"/>
          <w:i/>
          <w:iCs/>
          <w:szCs w:val="24"/>
          <w:lang w:val="es-CO"/>
        </w:rPr>
        <w:t>Región Científica</w:t>
      </w:r>
      <w:r w:rsidRPr="00720F6F">
        <w:rPr>
          <w:rFonts w:cs="Times New Roman"/>
          <w:szCs w:val="24"/>
          <w:lang w:val="es-CO"/>
        </w:rPr>
        <w:t>,</w:t>
      </w:r>
      <w:r w:rsidRPr="00720F6F">
        <w:rPr>
          <w:rFonts w:cs="Times New Roman"/>
          <w:i/>
          <w:iCs/>
          <w:szCs w:val="24"/>
          <w:lang w:val="es-CO"/>
        </w:rPr>
        <w:t xml:space="preserve"> 1</w:t>
      </w:r>
      <w:r w:rsidRPr="00720F6F">
        <w:rPr>
          <w:rFonts w:cs="Times New Roman"/>
          <w:szCs w:val="24"/>
          <w:lang w:val="es-CO"/>
        </w:rPr>
        <w:t xml:space="preserve">(1), 20229. </w:t>
      </w:r>
      <w:hyperlink r:id="rId35" w:history="1">
        <w:r w:rsidRPr="00720F6F">
          <w:rPr>
            <w:rStyle w:val="Hipervnculo"/>
            <w:rFonts w:cs="Times New Roman"/>
            <w:szCs w:val="24"/>
            <w:lang w:val="es-CO"/>
          </w:rPr>
          <w:t>https://doi.org/10.58763/rc20229</w:t>
        </w:r>
      </w:hyperlink>
      <w:r w:rsidRPr="00720F6F">
        <w:rPr>
          <w:rFonts w:cs="Times New Roman"/>
          <w:szCs w:val="24"/>
          <w:lang w:val="es-CO"/>
        </w:rPr>
        <w:t xml:space="preserve"> </w:t>
      </w:r>
    </w:p>
    <w:p w14:paraId="1FEC7569" w14:textId="1583E809" w:rsidR="00D42EBF" w:rsidRPr="00277DC7" w:rsidRDefault="00D42EBF" w:rsidP="00D42EBF">
      <w:pPr>
        <w:spacing w:line="360" w:lineRule="auto"/>
        <w:ind w:left="709" w:hanging="709"/>
        <w:rPr>
          <w:rFonts w:cs="Times New Roman"/>
          <w:szCs w:val="24"/>
          <w:lang w:val="en-US"/>
        </w:rPr>
      </w:pPr>
      <w:bookmarkStart w:id="30" w:name="_Hlk198213857"/>
      <w:bookmarkStart w:id="31" w:name="_Hlk198202395"/>
      <w:r w:rsidRPr="00720F6F">
        <w:rPr>
          <w:rFonts w:cs="Times New Roman"/>
          <w:szCs w:val="24"/>
          <w:lang w:val="es-CO"/>
        </w:rPr>
        <w:t xml:space="preserve">Gómez-Cano, C. </w:t>
      </w:r>
      <w:r w:rsidR="00FD5F52">
        <w:rPr>
          <w:rFonts w:cs="Times New Roman"/>
          <w:szCs w:val="24"/>
          <w:lang w:val="es-CO"/>
        </w:rPr>
        <w:t>y</w:t>
      </w:r>
      <w:r w:rsidRPr="00720F6F">
        <w:rPr>
          <w:rFonts w:cs="Times New Roman"/>
          <w:szCs w:val="24"/>
          <w:lang w:val="es-CO"/>
        </w:rPr>
        <w:t xml:space="preserve"> Sánchez-Castillo,</w:t>
      </w:r>
      <w:bookmarkEnd w:id="30"/>
      <w:r w:rsidRPr="00720F6F">
        <w:rPr>
          <w:rFonts w:cs="Times New Roman"/>
          <w:szCs w:val="24"/>
          <w:lang w:val="es-CO"/>
        </w:rPr>
        <w:t xml:space="preserve"> </w:t>
      </w:r>
      <w:bookmarkEnd w:id="31"/>
      <w:r w:rsidRPr="00720F6F">
        <w:rPr>
          <w:rFonts w:cs="Times New Roman"/>
          <w:szCs w:val="24"/>
          <w:lang w:val="es-CO"/>
        </w:rPr>
        <w:t xml:space="preserve">V. (2021). Evaluación del nivel de madurez en la gestión de proyectos de una empresa prestadora de servicios públicos. </w:t>
      </w:r>
      <w:proofErr w:type="spellStart"/>
      <w:r w:rsidRPr="00277DC7">
        <w:rPr>
          <w:rFonts w:cs="Times New Roman"/>
          <w:i/>
          <w:iCs/>
          <w:szCs w:val="24"/>
          <w:lang w:val="en-US"/>
        </w:rPr>
        <w:t>Económicas</w:t>
      </w:r>
      <w:proofErr w:type="spellEnd"/>
      <w:r w:rsidRPr="00277DC7">
        <w:rPr>
          <w:rFonts w:cs="Times New Roman"/>
          <w:i/>
          <w:iCs/>
          <w:szCs w:val="24"/>
          <w:lang w:val="en-US"/>
        </w:rPr>
        <w:t xml:space="preserve"> CUC</w:t>
      </w:r>
      <w:r w:rsidRPr="00277DC7">
        <w:rPr>
          <w:rFonts w:cs="Times New Roman"/>
          <w:szCs w:val="24"/>
          <w:lang w:val="en-US"/>
        </w:rPr>
        <w:t>,</w:t>
      </w:r>
      <w:r w:rsidRPr="00277DC7">
        <w:rPr>
          <w:rFonts w:cs="Times New Roman"/>
          <w:i/>
          <w:iCs/>
          <w:szCs w:val="24"/>
          <w:lang w:val="en-US"/>
        </w:rPr>
        <w:t xml:space="preserve"> 42</w:t>
      </w:r>
      <w:r w:rsidRPr="00277DC7">
        <w:rPr>
          <w:rFonts w:cs="Times New Roman"/>
          <w:szCs w:val="24"/>
          <w:lang w:val="en-US"/>
        </w:rPr>
        <w:t xml:space="preserve">(2), 133-144. </w:t>
      </w:r>
      <w:hyperlink r:id="rId36" w:history="1">
        <w:r w:rsidRPr="00277DC7">
          <w:rPr>
            <w:rStyle w:val="Hipervnculo"/>
            <w:rFonts w:cs="Times New Roman"/>
            <w:szCs w:val="24"/>
            <w:lang w:val="en-US"/>
          </w:rPr>
          <w:t>https://doi.org/10.17981/econcuc.42.2.2021.Org.7</w:t>
        </w:r>
      </w:hyperlink>
      <w:r w:rsidRPr="00277DC7">
        <w:rPr>
          <w:rFonts w:cs="Times New Roman"/>
          <w:szCs w:val="24"/>
          <w:lang w:val="en-US"/>
        </w:rPr>
        <w:t xml:space="preserve">  </w:t>
      </w:r>
    </w:p>
    <w:p w14:paraId="4D60F7D0" w14:textId="77777777" w:rsidR="00D42EBF" w:rsidRPr="00277DC7" w:rsidRDefault="00D42EBF" w:rsidP="00D42EBF">
      <w:pPr>
        <w:spacing w:line="360" w:lineRule="auto"/>
        <w:ind w:left="709" w:hanging="709"/>
        <w:rPr>
          <w:rFonts w:cs="Times New Roman"/>
          <w:szCs w:val="24"/>
          <w:lang w:val="en-US"/>
        </w:rPr>
      </w:pPr>
      <w:bookmarkStart w:id="32" w:name="_Hlk198214745"/>
      <w:r w:rsidRPr="00277DC7">
        <w:rPr>
          <w:rFonts w:cs="Times New Roman"/>
          <w:szCs w:val="24"/>
          <w:lang w:val="en-US"/>
        </w:rPr>
        <w:t>Gray, C. (2022)</w:t>
      </w:r>
      <w:bookmarkEnd w:id="32"/>
      <w:r w:rsidRPr="00277DC7">
        <w:rPr>
          <w:rFonts w:cs="Times New Roman"/>
          <w:szCs w:val="24"/>
          <w:lang w:val="en-US"/>
        </w:rPr>
        <w:t xml:space="preserve">. Overcoming Political Fragmentation: The Potential of Meso-Level Mechanisms. </w:t>
      </w:r>
      <w:r w:rsidRPr="00277DC7">
        <w:rPr>
          <w:rFonts w:cs="Times New Roman"/>
          <w:i/>
          <w:iCs/>
          <w:szCs w:val="24"/>
          <w:lang w:val="en-US"/>
        </w:rPr>
        <w:t>International Journal of Health Policy and Management</w:t>
      </w:r>
      <w:r w:rsidRPr="00277DC7">
        <w:rPr>
          <w:rFonts w:cs="Times New Roman"/>
          <w:szCs w:val="24"/>
          <w:lang w:val="en-US"/>
        </w:rPr>
        <w:t xml:space="preserve">, 12. </w:t>
      </w:r>
      <w:hyperlink r:id="rId37" w:tgtFrame="_blank" w:history="1">
        <w:r w:rsidRPr="00277DC7">
          <w:rPr>
            <w:rStyle w:val="Hipervnculo"/>
            <w:rFonts w:cs="Times New Roman"/>
            <w:szCs w:val="24"/>
            <w:lang w:val="en-US"/>
          </w:rPr>
          <w:t>https://doi.org/10.34172/ijhpm.2022.7075</w:t>
        </w:r>
      </w:hyperlink>
    </w:p>
    <w:p w14:paraId="1C0FC905" w14:textId="4CAC0502" w:rsidR="00D42EBF" w:rsidRPr="00720F6F" w:rsidRDefault="00D42EBF" w:rsidP="00D42EBF">
      <w:pPr>
        <w:spacing w:line="360" w:lineRule="auto"/>
        <w:ind w:left="709" w:hanging="709"/>
        <w:rPr>
          <w:rFonts w:cs="Times New Roman"/>
          <w:szCs w:val="24"/>
          <w:lang w:val="es-CO"/>
        </w:rPr>
      </w:pPr>
      <w:r w:rsidRPr="00720F6F">
        <w:rPr>
          <w:rFonts w:cs="Times New Roman"/>
          <w:szCs w:val="24"/>
          <w:lang w:val="es-CO"/>
        </w:rPr>
        <w:t xml:space="preserve">Guzmán, D. L., Gómez-Cano, C. </w:t>
      </w:r>
      <w:r w:rsidR="00FD5F52">
        <w:rPr>
          <w:rFonts w:cs="Times New Roman"/>
          <w:szCs w:val="24"/>
          <w:lang w:val="es-CO"/>
        </w:rPr>
        <w:t>y</w:t>
      </w:r>
      <w:r w:rsidRPr="00720F6F">
        <w:rPr>
          <w:rFonts w:cs="Times New Roman"/>
          <w:szCs w:val="24"/>
          <w:lang w:val="es-CO"/>
        </w:rPr>
        <w:t xml:space="preserve"> Sánchez-Castillo, V. (2022). Construcción del Estado a partir de la participación </w:t>
      </w:r>
      <w:r w:rsidR="00B34643">
        <w:rPr>
          <w:rFonts w:cs="Times New Roman"/>
          <w:szCs w:val="24"/>
          <w:lang w:val="es-CO"/>
        </w:rPr>
        <w:t>c</w:t>
      </w:r>
      <w:r w:rsidRPr="00720F6F">
        <w:rPr>
          <w:rFonts w:cs="Times New Roman"/>
          <w:szCs w:val="24"/>
          <w:lang w:val="es-CO"/>
        </w:rPr>
        <w:t xml:space="preserve">iudadana. </w:t>
      </w:r>
      <w:r w:rsidRPr="00720F6F">
        <w:rPr>
          <w:rFonts w:cs="Times New Roman"/>
          <w:i/>
          <w:iCs/>
          <w:szCs w:val="24"/>
          <w:lang w:val="es-CO"/>
        </w:rPr>
        <w:t>Revista Academia &amp; Derecho</w:t>
      </w:r>
      <w:r w:rsidRPr="00720F6F">
        <w:rPr>
          <w:rFonts w:cs="Times New Roman"/>
          <w:szCs w:val="24"/>
          <w:lang w:val="es-CO"/>
        </w:rPr>
        <w:t>,</w:t>
      </w:r>
      <w:r w:rsidRPr="00720F6F">
        <w:rPr>
          <w:rFonts w:cs="Times New Roman"/>
          <w:i/>
          <w:iCs/>
          <w:szCs w:val="24"/>
          <w:lang w:val="es-CO"/>
        </w:rPr>
        <w:t xml:space="preserve"> 14</w:t>
      </w:r>
      <w:r w:rsidRPr="00720F6F">
        <w:rPr>
          <w:rFonts w:cs="Times New Roman"/>
          <w:szCs w:val="24"/>
          <w:lang w:val="es-CO"/>
        </w:rPr>
        <w:t xml:space="preserve">(25). </w:t>
      </w:r>
      <w:hyperlink r:id="rId38" w:history="1">
        <w:r w:rsidRPr="00720F6F">
          <w:rPr>
            <w:rStyle w:val="Hipervnculo"/>
            <w:rFonts w:cs="Times New Roman"/>
            <w:szCs w:val="24"/>
            <w:lang w:val="es-CO"/>
          </w:rPr>
          <w:t>https://doi.org/10.18041/2215-8944/academia.25.10601</w:t>
        </w:r>
      </w:hyperlink>
      <w:r w:rsidRPr="00720F6F">
        <w:rPr>
          <w:rFonts w:cs="Times New Roman"/>
          <w:szCs w:val="24"/>
          <w:lang w:val="es-CO"/>
        </w:rPr>
        <w:t xml:space="preserve"> </w:t>
      </w:r>
    </w:p>
    <w:p w14:paraId="249F9238" w14:textId="77777777" w:rsidR="00D42EBF" w:rsidRPr="00277DC7" w:rsidRDefault="00D42EBF" w:rsidP="00D42EBF">
      <w:pPr>
        <w:spacing w:line="360" w:lineRule="auto"/>
        <w:ind w:left="709" w:hanging="709"/>
        <w:rPr>
          <w:rFonts w:cs="Times New Roman"/>
          <w:szCs w:val="24"/>
          <w:lang w:val="en-US"/>
        </w:rPr>
      </w:pPr>
      <w:bookmarkStart w:id="33" w:name="_Hlk198217266"/>
      <w:r w:rsidRPr="00720F6F">
        <w:rPr>
          <w:rFonts w:cs="Times New Roman"/>
          <w:szCs w:val="24"/>
          <w:lang w:val="es-CO"/>
        </w:rPr>
        <w:lastRenderedPageBreak/>
        <w:t>Han</w:t>
      </w:r>
      <w:bookmarkEnd w:id="33"/>
      <w:r w:rsidRPr="00720F6F">
        <w:rPr>
          <w:rFonts w:cs="Times New Roman"/>
          <w:szCs w:val="24"/>
          <w:lang w:val="es-CO"/>
        </w:rPr>
        <w:t xml:space="preserve">, X., Baldwin, T., &amp; </w:t>
      </w:r>
      <w:proofErr w:type="spellStart"/>
      <w:r w:rsidRPr="00720F6F">
        <w:rPr>
          <w:rFonts w:cs="Times New Roman"/>
          <w:szCs w:val="24"/>
          <w:lang w:val="es-CO"/>
        </w:rPr>
        <w:t>Cohn</w:t>
      </w:r>
      <w:proofErr w:type="spellEnd"/>
      <w:r w:rsidRPr="00720F6F">
        <w:rPr>
          <w:rFonts w:cs="Times New Roman"/>
          <w:szCs w:val="24"/>
          <w:lang w:val="es-CO"/>
        </w:rPr>
        <w:t xml:space="preserve">, T. (2022). </w:t>
      </w:r>
      <w:r w:rsidRPr="00277DC7">
        <w:rPr>
          <w:rFonts w:cs="Times New Roman"/>
          <w:szCs w:val="24"/>
          <w:lang w:val="en-US"/>
        </w:rPr>
        <w:t xml:space="preserve">Towards Equal Opportunity Fairness through Adversarial Learning. </w:t>
      </w:r>
      <w:proofErr w:type="spellStart"/>
      <w:r w:rsidRPr="00277DC7">
        <w:rPr>
          <w:rFonts w:cs="Times New Roman"/>
          <w:i/>
          <w:iCs/>
          <w:szCs w:val="24"/>
          <w:lang w:val="en-US"/>
        </w:rPr>
        <w:t>ArXiv</w:t>
      </w:r>
      <w:proofErr w:type="spellEnd"/>
      <w:r w:rsidRPr="00277DC7">
        <w:rPr>
          <w:rFonts w:cs="Times New Roman"/>
          <w:szCs w:val="24"/>
          <w:lang w:val="en-US"/>
        </w:rPr>
        <w:t xml:space="preserve">, abs/2203.06317. </w:t>
      </w:r>
      <w:hyperlink r:id="rId39" w:tgtFrame="_blank" w:history="1">
        <w:r w:rsidRPr="00277DC7">
          <w:rPr>
            <w:rStyle w:val="Hipervnculo"/>
            <w:rFonts w:cs="Times New Roman"/>
            <w:szCs w:val="24"/>
            <w:lang w:val="en-US"/>
          </w:rPr>
          <w:t>https://doi.org/10.48550/arXiv.2203.06317</w:t>
        </w:r>
      </w:hyperlink>
    </w:p>
    <w:p w14:paraId="14F97CEF" w14:textId="5DA9D68C" w:rsidR="00D42EBF" w:rsidRPr="00720F6F" w:rsidRDefault="00B34643" w:rsidP="00D42EBF">
      <w:pPr>
        <w:spacing w:line="360" w:lineRule="auto"/>
        <w:ind w:left="709" w:hanging="709"/>
        <w:rPr>
          <w:rFonts w:cs="Times New Roman"/>
          <w:szCs w:val="24"/>
          <w:lang w:val="es-CO"/>
        </w:rPr>
      </w:pPr>
      <w:bookmarkStart w:id="34" w:name="_Hlk198296006"/>
      <w:r w:rsidRPr="00720F6F">
        <w:rPr>
          <w:rFonts w:cs="Times New Roman"/>
          <w:szCs w:val="24"/>
          <w:lang w:val="en-US"/>
        </w:rPr>
        <w:t xml:space="preserve">Heiden, B., Tonino-Heiden, B., Obermüller, T., </w:t>
      </w:r>
      <w:proofErr w:type="spellStart"/>
      <w:r w:rsidRPr="00720F6F">
        <w:rPr>
          <w:rFonts w:cs="Times New Roman"/>
          <w:szCs w:val="24"/>
          <w:lang w:val="en-US"/>
        </w:rPr>
        <w:t>Loipold</w:t>
      </w:r>
      <w:proofErr w:type="spellEnd"/>
      <w:r w:rsidRPr="00720F6F">
        <w:rPr>
          <w:rFonts w:cs="Times New Roman"/>
          <w:szCs w:val="24"/>
          <w:lang w:val="en-US"/>
        </w:rPr>
        <w:t xml:space="preserve">, C., &amp; Wissounig, W. (2020). Rising from systemic to industrial artificial intelligence applications (AIA) for predictive decision making (PDM): Four examples. En Y. Bi, R. Bhatia &amp; S. Kapoor (Eds.), </w:t>
      </w:r>
      <w:r w:rsidRPr="00720F6F">
        <w:rPr>
          <w:rFonts w:cs="Times New Roman"/>
          <w:i/>
          <w:iCs/>
          <w:szCs w:val="24"/>
          <w:lang w:val="en-US"/>
        </w:rPr>
        <w:t xml:space="preserve">Intelligent systems and applications. </w:t>
      </w:r>
      <w:proofErr w:type="spellStart"/>
      <w:r w:rsidRPr="00720F6F">
        <w:rPr>
          <w:rFonts w:cs="Times New Roman"/>
          <w:i/>
          <w:iCs/>
          <w:szCs w:val="24"/>
          <w:lang w:val="en-US"/>
        </w:rPr>
        <w:t>IntelliSys</w:t>
      </w:r>
      <w:proofErr w:type="spellEnd"/>
      <w:r w:rsidRPr="00720F6F">
        <w:rPr>
          <w:rFonts w:cs="Times New Roman"/>
          <w:i/>
          <w:iCs/>
          <w:szCs w:val="24"/>
          <w:lang w:val="en-US"/>
        </w:rPr>
        <w:t xml:space="preserve"> 2019</w:t>
      </w:r>
      <w:r w:rsidRPr="00720F6F">
        <w:rPr>
          <w:rFonts w:cs="Times New Roman"/>
          <w:szCs w:val="24"/>
          <w:lang w:val="en-US"/>
        </w:rPr>
        <w:t xml:space="preserve"> (</w:t>
      </w:r>
      <w:r w:rsidRPr="00720F6F">
        <w:rPr>
          <w:rFonts w:cs="Times New Roman"/>
          <w:i/>
          <w:iCs/>
          <w:szCs w:val="24"/>
          <w:lang w:val="en-US"/>
        </w:rPr>
        <w:t>Advances in Intelligent Systems and Computing</w:t>
      </w:r>
      <w:r w:rsidRPr="00720F6F">
        <w:rPr>
          <w:rFonts w:cs="Times New Roman"/>
          <w:szCs w:val="24"/>
          <w:lang w:val="en-US"/>
        </w:rPr>
        <w:t xml:space="preserve">, </w:t>
      </w:r>
      <w:r w:rsidRPr="00720F6F">
        <w:rPr>
          <w:rFonts w:cs="Times New Roman"/>
          <w:i/>
          <w:iCs/>
          <w:szCs w:val="24"/>
          <w:lang w:val="en-US"/>
        </w:rPr>
        <w:t>1038</w:t>
      </w:r>
      <w:r w:rsidRPr="00720F6F">
        <w:rPr>
          <w:rFonts w:cs="Times New Roman"/>
          <w:szCs w:val="24"/>
          <w:lang w:val="en-US"/>
        </w:rPr>
        <w:t xml:space="preserve">, pp. 1222–1233). Springer. </w:t>
      </w:r>
      <w:hyperlink r:id="rId40" w:tgtFrame="_new" w:history="1">
        <w:r w:rsidRPr="00720F6F">
          <w:rPr>
            <w:rStyle w:val="Hipervnculo"/>
            <w:rFonts w:cs="Times New Roman"/>
            <w:szCs w:val="24"/>
            <w:lang w:val="en-US"/>
          </w:rPr>
          <w:t>https://doi.org/10.1007/978-3-030-29513-4_94</w:t>
        </w:r>
      </w:hyperlink>
      <w:bookmarkEnd w:id="34"/>
      <w:r w:rsidR="00D42EBF" w:rsidRPr="00720F6F">
        <w:rPr>
          <w:rFonts w:cs="Times New Roman"/>
          <w:szCs w:val="24"/>
          <w:lang w:val="es-CO"/>
        </w:rPr>
        <w:t xml:space="preserve">Higuera Carrillo, E. L. (2022). Aspectos clave en </w:t>
      </w:r>
      <w:proofErr w:type="spellStart"/>
      <w:r w:rsidR="00D42EBF" w:rsidRPr="00720F6F">
        <w:rPr>
          <w:rFonts w:cs="Times New Roman"/>
          <w:szCs w:val="24"/>
          <w:lang w:val="es-CO"/>
        </w:rPr>
        <w:t>agroproyectos</w:t>
      </w:r>
      <w:proofErr w:type="spellEnd"/>
      <w:r w:rsidR="00D42EBF" w:rsidRPr="00720F6F">
        <w:rPr>
          <w:rFonts w:cs="Times New Roman"/>
          <w:szCs w:val="24"/>
          <w:lang w:val="es-CO"/>
        </w:rPr>
        <w:t xml:space="preserve"> con enfoque comercial: Una aproximación desde las concepciones epistemológicas sobre el problema rural agrario en Colombia. </w:t>
      </w:r>
      <w:r w:rsidR="00D42EBF" w:rsidRPr="00720F6F">
        <w:rPr>
          <w:rFonts w:cs="Times New Roman"/>
          <w:i/>
          <w:iCs/>
          <w:szCs w:val="24"/>
          <w:lang w:val="es-CO"/>
        </w:rPr>
        <w:t>Región Científica</w:t>
      </w:r>
      <w:r w:rsidR="00D42EBF" w:rsidRPr="00720F6F">
        <w:rPr>
          <w:rFonts w:cs="Times New Roman"/>
          <w:szCs w:val="24"/>
          <w:lang w:val="es-CO"/>
        </w:rPr>
        <w:t>,</w:t>
      </w:r>
      <w:r w:rsidR="00D42EBF" w:rsidRPr="00720F6F">
        <w:rPr>
          <w:rFonts w:cs="Times New Roman"/>
          <w:i/>
          <w:iCs/>
          <w:szCs w:val="24"/>
          <w:lang w:val="es-CO"/>
        </w:rPr>
        <w:t xml:space="preserve"> 1</w:t>
      </w:r>
      <w:r w:rsidR="00D42EBF" w:rsidRPr="00720F6F">
        <w:rPr>
          <w:rFonts w:cs="Times New Roman"/>
          <w:szCs w:val="24"/>
          <w:lang w:val="es-CO"/>
        </w:rPr>
        <w:t xml:space="preserve">(1), 20224. </w:t>
      </w:r>
      <w:hyperlink r:id="rId41" w:history="1">
        <w:r w:rsidR="00D42EBF" w:rsidRPr="00720F6F">
          <w:rPr>
            <w:rStyle w:val="Hipervnculo"/>
            <w:rFonts w:cs="Times New Roman"/>
            <w:szCs w:val="24"/>
            <w:lang w:val="es-CO"/>
          </w:rPr>
          <w:t>https://doi.org/10.58763/rc20224</w:t>
        </w:r>
      </w:hyperlink>
      <w:r w:rsidR="00D42EBF" w:rsidRPr="00720F6F">
        <w:rPr>
          <w:rFonts w:cs="Times New Roman"/>
          <w:szCs w:val="24"/>
          <w:lang w:val="es-CO"/>
        </w:rPr>
        <w:t xml:space="preserve"> </w:t>
      </w:r>
    </w:p>
    <w:p w14:paraId="423A9339" w14:textId="77777777" w:rsidR="00D42EBF" w:rsidRPr="00720F6F" w:rsidRDefault="00D42EBF" w:rsidP="00D42EBF">
      <w:pPr>
        <w:spacing w:line="360" w:lineRule="auto"/>
        <w:ind w:left="709" w:hanging="709"/>
        <w:rPr>
          <w:rFonts w:cs="Times New Roman"/>
          <w:szCs w:val="24"/>
          <w:lang w:val="es-CO"/>
        </w:rPr>
      </w:pPr>
      <w:r w:rsidRPr="00720F6F">
        <w:rPr>
          <w:rFonts w:cs="Times New Roman"/>
          <w:szCs w:val="24"/>
          <w:lang w:val="es-CO"/>
        </w:rPr>
        <w:t xml:space="preserve">Hoyos Chavarro, Y. A., Melo Zamudio, J. C., &amp; Sánchez Castillo, V. (2022). Sistematización de la experiencia de circuito corto de comercialización estudio de caso Tibasosa, Boyacá. </w:t>
      </w:r>
      <w:r w:rsidRPr="00720F6F">
        <w:rPr>
          <w:rFonts w:cs="Times New Roman"/>
          <w:i/>
          <w:iCs/>
          <w:szCs w:val="24"/>
          <w:lang w:val="es-CO"/>
        </w:rPr>
        <w:t>Región Científica</w:t>
      </w:r>
      <w:r w:rsidRPr="00720F6F">
        <w:rPr>
          <w:rFonts w:cs="Times New Roman"/>
          <w:szCs w:val="24"/>
          <w:lang w:val="es-CO"/>
        </w:rPr>
        <w:t>,</w:t>
      </w:r>
      <w:r w:rsidRPr="00720F6F">
        <w:rPr>
          <w:rFonts w:cs="Times New Roman"/>
          <w:i/>
          <w:iCs/>
          <w:szCs w:val="24"/>
          <w:lang w:val="es-CO"/>
        </w:rPr>
        <w:t xml:space="preserve"> 1</w:t>
      </w:r>
      <w:r w:rsidRPr="00720F6F">
        <w:rPr>
          <w:rFonts w:cs="Times New Roman"/>
          <w:szCs w:val="24"/>
          <w:lang w:val="es-CO"/>
        </w:rPr>
        <w:t xml:space="preserve">(1), 20228. </w:t>
      </w:r>
      <w:hyperlink r:id="rId42" w:history="1">
        <w:r w:rsidRPr="00720F6F">
          <w:rPr>
            <w:rStyle w:val="Hipervnculo"/>
            <w:rFonts w:cs="Times New Roman"/>
            <w:szCs w:val="24"/>
            <w:lang w:val="es-CO"/>
          </w:rPr>
          <w:t>https://doi.org/10.58763/rc20228</w:t>
        </w:r>
      </w:hyperlink>
      <w:r w:rsidRPr="00720F6F">
        <w:rPr>
          <w:rFonts w:cs="Times New Roman"/>
          <w:szCs w:val="24"/>
          <w:lang w:val="es-CO"/>
        </w:rPr>
        <w:t xml:space="preserve"> </w:t>
      </w:r>
    </w:p>
    <w:p w14:paraId="5C2EC699" w14:textId="77777777" w:rsidR="00D42EBF" w:rsidRPr="00277DC7" w:rsidRDefault="00D42EBF" w:rsidP="00D42EBF">
      <w:pPr>
        <w:spacing w:line="360" w:lineRule="auto"/>
        <w:ind w:left="709" w:hanging="709"/>
        <w:rPr>
          <w:rFonts w:cs="Times New Roman"/>
          <w:szCs w:val="24"/>
          <w:lang w:val="en-US"/>
        </w:rPr>
      </w:pPr>
      <w:bookmarkStart w:id="35" w:name="_Hlk198212071"/>
      <w:r w:rsidRPr="00B3264F">
        <w:rPr>
          <w:rFonts w:cs="Times New Roman"/>
          <w:szCs w:val="24"/>
          <w:lang w:val="en-US"/>
        </w:rPr>
        <w:t>Kelly</w:t>
      </w:r>
      <w:bookmarkEnd w:id="35"/>
      <w:r w:rsidRPr="00B3264F">
        <w:rPr>
          <w:rFonts w:cs="Times New Roman"/>
          <w:szCs w:val="24"/>
          <w:lang w:val="en-US"/>
        </w:rPr>
        <w:t xml:space="preserve">, C., </w:t>
      </w:r>
      <w:proofErr w:type="spellStart"/>
      <w:r w:rsidRPr="00B3264F">
        <w:rPr>
          <w:rFonts w:cs="Times New Roman"/>
          <w:szCs w:val="24"/>
          <w:lang w:val="en-US"/>
        </w:rPr>
        <w:t>Karthikesalingam</w:t>
      </w:r>
      <w:proofErr w:type="spellEnd"/>
      <w:r w:rsidRPr="00B3264F">
        <w:rPr>
          <w:rFonts w:cs="Times New Roman"/>
          <w:szCs w:val="24"/>
          <w:lang w:val="en-US"/>
        </w:rPr>
        <w:t xml:space="preserve">, A., Suleyman, M., Corrado, G., &amp; King, D. (2019). </w:t>
      </w:r>
      <w:r w:rsidRPr="00277DC7">
        <w:rPr>
          <w:rFonts w:cs="Times New Roman"/>
          <w:szCs w:val="24"/>
          <w:lang w:val="en-US"/>
        </w:rPr>
        <w:t xml:space="preserve">Key challenges for delivering clinical impact with artificial intelligence. </w:t>
      </w:r>
      <w:r w:rsidRPr="00277DC7">
        <w:rPr>
          <w:rFonts w:cs="Times New Roman"/>
          <w:i/>
          <w:iCs/>
          <w:szCs w:val="24"/>
          <w:lang w:val="en-US"/>
        </w:rPr>
        <w:t>BMC Medicine</w:t>
      </w:r>
      <w:r w:rsidRPr="00277DC7">
        <w:rPr>
          <w:rFonts w:cs="Times New Roman"/>
          <w:szCs w:val="24"/>
          <w:lang w:val="en-US"/>
        </w:rPr>
        <w:t xml:space="preserve">, 17. </w:t>
      </w:r>
      <w:hyperlink r:id="rId43" w:tgtFrame="_blank" w:history="1">
        <w:r w:rsidRPr="00277DC7">
          <w:rPr>
            <w:rStyle w:val="Hipervnculo"/>
            <w:rFonts w:cs="Times New Roman"/>
            <w:szCs w:val="24"/>
            <w:lang w:val="en-US"/>
          </w:rPr>
          <w:t>https://doi.org/10.1186/s12916-019-1426-2</w:t>
        </w:r>
      </w:hyperlink>
    </w:p>
    <w:p w14:paraId="0985D412" w14:textId="77777777" w:rsidR="00D42EBF" w:rsidRPr="00277DC7" w:rsidRDefault="00D42EBF" w:rsidP="00D42EBF">
      <w:pPr>
        <w:spacing w:line="360" w:lineRule="auto"/>
        <w:ind w:left="709" w:hanging="709"/>
        <w:rPr>
          <w:rFonts w:cs="Times New Roman"/>
          <w:szCs w:val="24"/>
          <w:lang w:val="en-US"/>
        </w:rPr>
      </w:pPr>
      <w:bookmarkStart w:id="36" w:name="_Hlk198221141"/>
      <w:r w:rsidRPr="00277DC7">
        <w:rPr>
          <w:rFonts w:cs="Times New Roman"/>
          <w:szCs w:val="24"/>
          <w:lang w:val="en-US"/>
        </w:rPr>
        <w:t>Kimura</w:t>
      </w:r>
      <w:bookmarkEnd w:id="36"/>
      <w:r w:rsidRPr="00277DC7">
        <w:rPr>
          <w:rFonts w:cs="Times New Roman"/>
          <w:szCs w:val="24"/>
          <w:lang w:val="en-US"/>
        </w:rPr>
        <w:t xml:space="preserve">, A., Antón-Oldenburg, M., &amp; </w:t>
      </w:r>
      <w:proofErr w:type="spellStart"/>
      <w:r w:rsidRPr="00277DC7">
        <w:rPr>
          <w:rFonts w:cs="Times New Roman"/>
          <w:szCs w:val="24"/>
          <w:lang w:val="en-US"/>
        </w:rPr>
        <w:t>Pinderhughes</w:t>
      </w:r>
      <w:proofErr w:type="spellEnd"/>
      <w:r w:rsidRPr="00277DC7">
        <w:rPr>
          <w:rFonts w:cs="Times New Roman"/>
          <w:szCs w:val="24"/>
          <w:lang w:val="en-US"/>
        </w:rPr>
        <w:t xml:space="preserve">, E. (2021). Developing and Teaching an Anti-Bias Curriculum in a Public Elementary School: Leadership, K-1 Teachers’, and Young Children’s Experiences. </w:t>
      </w:r>
      <w:r w:rsidRPr="00277DC7">
        <w:rPr>
          <w:rFonts w:cs="Times New Roman"/>
          <w:i/>
          <w:iCs/>
          <w:szCs w:val="24"/>
          <w:lang w:val="en-US"/>
        </w:rPr>
        <w:t>Journal of Research in Childhood Education</w:t>
      </w:r>
      <w:r w:rsidRPr="00277DC7">
        <w:rPr>
          <w:rFonts w:cs="Times New Roman"/>
          <w:szCs w:val="24"/>
          <w:lang w:val="en-US"/>
        </w:rPr>
        <w:t xml:space="preserve">, 36, 183 - 202. </w:t>
      </w:r>
      <w:hyperlink r:id="rId44" w:tgtFrame="_blank" w:history="1">
        <w:r w:rsidRPr="00277DC7">
          <w:rPr>
            <w:rStyle w:val="Hipervnculo"/>
            <w:rFonts w:cs="Times New Roman"/>
            <w:szCs w:val="24"/>
            <w:lang w:val="en-US"/>
          </w:rPr>
          <w:t>https://doi.org/10.1080/02568543.2021.1912222</w:t>
        </w:r>
      </w:hyperlink>
    </w:p>
    <w:p w14:paraId="6E256D02" w14:textId="77777777" w:rsidR="00D42EBF" w:rsidRPr="00277DC7" w:rsidRDefault="00D42EBF" w:rsidP="00D42EBF">
      <w:pPr>
        <w:spacing w:line="360" w:lineRule="auto"/>
        <w:ind w:left="709" w:hanging="709"/>
        <w:rPr>
          <w:rFonts w:cs="Times New Roman"/>
          <w:szCs w:val="24"/>
          <w:lang w:val="en-US"/>
        </w:rPr>
      </w:pPr>
      <w:bookmarkStart w:id="37" w:name="_Hlk198220653"/>
      <w:proofErr w:type="spellStart"/>
      <w:r w:rsidRPr="00720F6F">
        <w:rPr>
          <w:rFonts w:cs="Times New Roman"/>
          <w:szCs w:val="24"/>
          <w:lang w:val="es-CO"/>
        </w:rPr>
        <w:t>Kinavey</w:t>
      </w:r>
      <w:proofErr w:type="spellEnd"/>
      <w:r w:rsidRPr="00720F6F">
        <w:rPr>
          <w:rFonts w:cs="Times New Roman"/>
          <w:szCs w:val="24"/>
          <w:lang w:val="es-CO"/>
        </w:rPr>
        <w:t>, H.</w:t>
      </w:r>
      <w:r w:rsidRPr="00277DC7">
        <w:rPr>
          <w:rFonts w:cs="Times New Roman"/>
          <w:szCs w:val="24"/>
          <w:lang w:val="en-US"/>
        </w:rPr>
        <w:t>, &amp;</w:t>
      </w:r>
      <w:r w:rsidRPr="00720F6F">
        <w:rPr>
          <w:rFonts w:cs="Times New Roman"/>
          <w:szCs w:val="24"/>
          <w:lang w:val="es-CO"/>
        </w:rPr>
        <w:t xml:space="preserve"> </w:t>
      </w:r>
      <w:proofErr w:type="spellStart"/>
      <w:r w:rsidRPr="00720F6F">
        <w:rPr>
          <w:rFonts w:cs="Times New Roman"/>
          <w:szCs w:val="24"/>
          <w:lang w:val="es-CO"/>
        </w:rPr>
        <w:t>Cool</w:t>
      </w:r>
      <w:proofErr w:type="spellEnd"/>
      <w:r w:rsidRPr="00720F6F">
        <w:rPr>
          <w:rFonts w:cs="Times New Roman"/>
          <w:szCs w:val="24"/>
          <w:lang w:val="es-CO"/>
        </w:rPr>
        <w:t xml:space="preserve">, </w:t>
      </w:r>
      <w:bookmarkEnd w:id="37"/>
      <w:r w:rsidRPr="00720F6F">
        <w:rPr>
          <w:rFonts w:cs="Times New Roman"/>
          <w:szCs w:val="24"/>
          <w:lang w:val="es-CO"/>
        </w:rPr>
        <w:t xml:space="preserve">C. (2019). </w:t>
      </w:r>
      <w:r w:rsidRPr="00277DC7">
        <w:rPr>
          <w:rFonts w:cs="Times New Roman"/>
          <w:szCs w:val="24"/>
          <w:lang w:val="en-US"/>
        </w:rPr>
        <w:t xml:space="preserve">The Broken Lens: How Anti-Fat Bias in Psychotherapy is Harming Our Clients and What </w:t>
      </w:r>
      <w:proofErr w:type="gramStart"/>
      <w:r w:rsidRPr="00277DC7">
        <w:rPr>
          <w:rFonts w:cs="Times New Roman"/>
          <w:szCs w:val="24"/>
          <w:lang w:val="en-US"/>
        </w:rPr>
        <w:t>To</w:t>
      </w:r>
      <w:proofErr w:type="gramEnd"/>
      <w:r w:rsidRPr="00277DC7">
        <w:rPr>
          <w:rFonts w:cs="Times New Roman"/>
          <w:szCs w:val="24"/>
          <w:lang w:val="en-US"/>
        </w:rPr>
        <w:t xml:space="preserve"> Do About It. </w:t>
      </w:r>
      <w:r w:rsidRPr="00277DC7">
        <w:rPr>
          <w:rFonts w:cs="Times New Roman"/>
          <w:i/>
          <w:iCs/>
          <w:szCs w:val="24"/>
          <w:lang w:val="en-US"/>
        </w:rPr>
        <w:t>Women &amp; Therapy</w:t>
      </w:r>
      <w:r w:rsidRPr="00277DC7">
        <w:rPr>
          <w:rFonts w:cs="Times New Roman"/>
          <w:szCs w:val="24"/>
          <w:lang w:val="en-US"/>
        </w:rPr>
        <w:t xml:space="preserve">, 42, 116 - 130. </w:t>
      </w:r>
      <w:hyperlink r:id="rId45" w:tgtFrame="_blank" w:history="1">
        <w:r w:rsidRPr="00277DC7">
          <w:rPr>
            <w:rStyle w:val="Hipervnculo"/>
            <w:rFonts w:cs="Times New Roman"/>
            <w:szCs w:val="24"/>
            <w:lang w:val="en-US"/>
          </w:rPr>
          <w:t>https://doi.org/10.1080/02703149.2018.1524070</w:t>
        </w:r>
      </w:hyperlink>
    </w:p>
    <w:p w14:paraId="2CD3E7F4" w14:textId="77777777" w:rsidR="00D42EBF" w:rsidRPr="00720F6F" w:rsidRDefault="00D42EBF" w:rsidP="00D42EBF">
      <w:pPr>
        <w:spacing w:line="360" w:lineRule="auto"/>
        <w:ind w:left="709" w:hanging="709"/>
        <w:rPr>
          <w:rFonts w:cs="Times New Roman"/>
          <w:szCs w:val="24"/>
          <w:lang w:val="es-CO"/>
        </w:rPr>
      </w:pPr>
      <w:bookmarkStart w:id="38" w:name="_Hlk198214900"/>
      <w:r w:rsidRPr="00720F6F">
        <w:rPr>
          <w:rFonts w:cs="Times New Roman"/>
          <w:szCs w:val="24"/>
          <w:lang w:val="fr-FR"/>
        </w:rPr>
        <w:t>Langenkamp</w:t>
      </w:r>
      <w:bookmarkEnd w:id="38"/>
      <w:r w:rsidRPr="00720F6F">
        <w:rPr>
          <w:rFonts w:cs="Times New Roman"/>
          <w:szCs w:val="24"/>
          <w:lang w:val="fr-FR"/>
        </w:rPr>
        <w:t xml:space="preserve">, M., Costa, A., &amp; Cheung, C. (2020). </w:t>
      </w:r>
      <w:r w:rsidRPr="00277DC7">
        <w:rPr>
          <w:rFonts w:cs="Times New Roman"/>
          <w:szCs w:val="24"/>
          <w:lang w:val="en-US"/>
        </w:rPr>
        <w:t xml:space="preserve">Hiring Fairly in the Age of Algorithms. </w:t>
      </w:r>
      <w:proofErr w:type="spellStart"/>
      <w:r w:rsidRPr="00720F6F">
        <w:rPr>
          <w:rFonts w:cs="Times New Roman"/>
          <w:i/>
          <w:iCs/>
          <w:szCs w:val="24"/>
          <w:lang w:val="es-CO"/>
        </w:rPr>
        <w:t>ArXiv</w:t>
      </w:r>
      <w:proofErr w:type="spellEnd"/>
      <w:r w:rsidRPr="00720F6F">
        <w:rPr>
          <w:rFonts w:cs="Times New Roman"/>
          <w:szCs w:val="24"/>
          <w:lang w:val="es-CO"/>
        </w:rPr>
        <w:t xml:space="preserve">, </w:t>
      </w:r>
      <w:proofErr w:type="spellStart"/>
      <w:r w:rsidRPr="00720F6F">
        <w:rPr>
          <w:rFonts w:cs="Times New Roman"/>
          <w:szCs w:val="24"/>
          <w:lang w:val="es-CO"/>
        </w:rPr>
        <w:t>abs</w:t>
      </w:r>
      <w:proofErr w:type="spellEnd"/>
      <w:r w:rsidRPr="00720F6F">
        <w:rPr>
          <w:rFonts w:cs="Times New Roman"/>
          <w:szCs w:val="24"/>
          <w:lang w:val="es-CO"/>
        </w:rPr>
        <w:t xml:space="preserve">/2004.07132. </w:t>
      </w:r>
      <w:hyperlink r:id="rId46" w:tgtFrame="_blank" w:history="1">
        <w:r w:rsidRPr="00720F6F">
          <w:rPr>
            <w:rStyle w:val="Hipervnculo"/>
            <w:rFonts w:cs="Times New Roman"/>
            <w:szCs w:val="24"/>
            <w:lang w:val="es-CO"/>
          </w:rPr>
          <w:t>https://doi.org/10.2139/ssrn.3723046</w:t>
        </w:r>
      </w:hyperlink>
    </w:p>
    <w:p w14:paraId="587649CA" w14:textId="58BDF1F5" w:rsidR="00D42EBF" w:rsidRPr="00720F6F" w:rsidRDefault="00D42EBF" w:rsidP="00D42EBF">
      <w:pPr>
        <w:spacing w:line="360" w:lineRule="auto"/>
        <w:ind w:left="709" w:hanging="709"/>
        <w:rPr>
          <w:rFonts w:cs="Times New Roman"/>
          <w:szCs w:val="24"/>
          <w:lang w:val="es-CO"/>
        </w:rPr>
      </w:pPr>
      <w:r w:rsidRPr="00720F6F">
        <w:rPr>
          <w:rFonts w:cs="Times New Roman"/>
          <w:szCs w:val="24"/>
          <w:lang w:val="es-CO"/>
        </w:rPr>
        <w:t xml:space="preserve">Ledesma, F. </w:t>
      </w:r>
      <w:r w:rsidR="00B34643">
        <w:rPr>
          <w:rFonts w:cs="Times New Roman"/>
          <w:szCs w:val="24"/>
          <w:lang w:val="es-CO"/>
        </w:rPr>
        <w:t>y</w:t>
      </w:r>
      <w:r w:rsidRPr="00720F6F">
        <w:rPr>
          <w:rFonts w:cs="Times New Roman"/>
          <w:szCs w:val="24"/>
          <w:lang w:val="es-CO"/>
        </w:rPr>
        <w:t xml:space="preserve"> </w:t>
      </w:r>
      <w:proofErr w:type="spellStart"/>
      <w:r w:rsidRPr="00720F6F">
        <w:rPr>
          <w:rFonts w:cs="Times New Roman"/>
          <w:szCs w:val="24"/>
          <w:lang w:val="es-CO"/>
        </w:rPr>
        <w:t>Malave</w:t>
      </w:r>
      <w:proofErr w:type="spellEnd"/>
      <w:r w:rsidRPr="00720F6F">
        <w:rPr>
          <w:rFonts w:cs="Times New Roman"/>
          <w:szCs w:val="24"/>
          <w:lang w:val="es-CO"/>
        </w:rPr>
        <w:t>-González, B. E. (2022). Patrones de comunicación científica sobre E-</w:t>
      </w:r>
      <w:proofErr w:type="spellStart"/>
      <w:r w:rsidRPr="00720F6F">
        <w:rPr>
          <w:rFonts w:cs="Times New Roman"/>
          <w:szCs w:val="24"/>
          <w:lang w:val="es-CO"/>
        </w:rPr>
        <w:t>commerce</w:t>
      </w:r>
      <w:proofErr w:type="spellEnd"/>
      <w:r w:rsidRPr="00720F6F">
        <w:rPr>
          <w:rFonts w:cs="Times New Roman"/>
          <w:szCs w:val="24"/>
          <w:lang w:val="es-CO"/>
        </w:rPr>
        <w:t xml:space="preserve">: un estudio bibliométrico en la base de datos </w:t>
      </w:r>
      <w:proofErr w:type="spellStart"/>
      <w:r w:rsidRPr="00720F6F">
        <w:rPr>
          <w:rFonts w:cs="Times New Roman"/>
          <w:szCs w:val="24"/>
          <w:lang w:val="es-CO"/>
        </w:rPr>
        <w:t>Scopus</w:t>
      </w:r>
      <w:proofErr w:type="spellEnd"/>
      <w:r w:rsidRPr="00720F6F">
        <w:rPr>
          <w:rFonts w:cs="Times New Roman"/>
          <w:szCs w:val="24"/>
          <w:lang w:val="es-CO"/>
        </w:rPr>
        <w:t xml:space="preserve">. </w:t>
      </w:r>
      <w:r w:rsidRPr="00720F6F">
        <w:rPr>
          <w:rFonts w:cs="Times New Roman"/>
          <w:i/>
          <w:iCs/>
          <w:szCs w:val="24"/>
          <w:lang w:val="es-CO"/>
        </w:rPr>
        <w:t>Región Científica</w:t>
      </w:r>
      <w:r w:rsidRPr="00720F6F">
        <w:rPr>
          <w:rFonts w:cs="Times New Roman"/>
          <w:szCs w:val="24"/>
          <w:lang w:val="es-CO"/>
        </w:rPr>
        <w:t>,</w:t>
      </w:r>
      <w:r w:rsidRPr="00720F6F">
        <w:rPr>
          <w:rFonts w:cs="Times New Roman"/>
          <w:i/>
          <w:iCs/>
          <w:szCs w:val="24"/>
          <w:lang w:val="es-CO"/>
        </w:rPr>
        <w:t xml:space="preserve"> 1</w:t>
      </w:r>
      <w:r w:rsidRPr="00720F6F">
        <w:rPr>
          <w:rFonts w:cs="Times New Roman"/>
          <w:szCs w:val="24"/>
          <w:lang w:val="es-CO"/>
        </w:rPr>
        <w:t xml:space="preserve">(1), 202214. </w:t>
      </w:r>
      <w:hyperlink r:id="rId47" w:history="1">
        <w:r w:rsidRPr="00720F6F">
          <w:rPr>
            <w:rStyle w:val="Hipervnculo"/>
            <w:rFonts w:cs="Times New Roman"/>
            <w:szCs w:val="24"/>
            <w:lang w:val="es-CO"/>
          </w:rPr>
          <w:t>https://doi.org/10.58763/rc202214</w:t>
        </w:r>
      </w:hyperlink>
      <w:r w:rsidRPr="00720F6F">
        <w:rPr>
          <w:rFonts w:cs="Times New Roman"/>
          <w:szCs w:val="24"/>
          <w:lang w:val="es-CO"/>
        </w:rPr>
        <w:t xml:space="preserve">  </w:t>
      </w:r>
    </w:p>
    <w:p w14:paraId="4CF9B588" w14:textId="77777777" w:rsidR="00D42EBF" w:rsidRPr="00277DC7" w:rsidRDefault="00D42EBF" w:rsidP="00D42EBF">
      <w:pPr>
        <w:spacing w:line="360" w:lineRule="auto"/>
        <w:ind w:left="709" w:hanging="709"/>
        <w:rPr>
          <w:rFonts w:cs="Times New Roman"/>
          <w:szCs w:val="24"/>
          <w:lang w:val="en-US"/>
        </w:rPr>
      </w:pPr>
      <w:bookmarkStart w:id="39" w:name="_Hlk198215585"/>
      <w:r w:rsidRPr="00720F6F">
        <w:rPr>
          <w:rFonts w:cs="Times New Roman"/>
          <w:szCs w:val="24"/>
          <w:lang w:val="es-CO"/>
        </w:rPr>
        <w:t xml:space="preserve">Lin, L., &amp; Chu, </w:t>
      </w:r>
      <w:bookmarkEnd w:id="39"/>
      <w:r w:rsidRPr="00720F6F">
        <w:rPr>
          <w:rFonts w:cs="Times New Roman"/>
          <w:szCs w:val="24"/>
          <w:lang w:val="es-CO"/>
        </w:rPr>
        <w:t xml:space="preserve">H. (2018). </w:t>
      </w:r>
      <w:r w:rsidRPr="00277DC7">
        <w:rPr>
          <w:rFonts w:cs="Times New Roman"/>
          <w:szCs w:val="24"/>
          <w:lang w:val="en-US"/>
        </w:rPr>
        <w:t xml:space="preserve">Quantifying publication bias in meta‐analysis. </w:t>
      </w:r>
      <w:r w:rsidRPr="00277DC7">
        <w:rPr>
          <w:rFonts w:cs="Times New Roman"/>
          <w:i/>
          <w:iCs/>
          <w:szCs w:val="24"/>
          <w:lang w:val="en-US"/>
        </w:rPr>
        <w:t>Biometrics</w:t>
      </w:r>
      <w:r w:rsidRPr="00277DC7">
        <w:rPr>
          <w:rFonts w:cs="Times New Roman"/>
          <w:szCs w:val="24"/>
          <w:lang w:val="en-US"/>
        </w:rPr>
        <w:t xml:space="preserve">, 74. </w:t>
      </w:r>
      <w:hyperlink r:id="rId48" w:tgtFrame="_blank" w:history="1">
        <w:r w:rsidRPr="00277DC7">
          <w:rPr>
            <w:rStyle w:val="Hipervnculo"/>
            <w:rFonts w:cs="Times New Roman"/>
            <w:szCs w:val="24"/>
            <w:lang w:val="en-US"/>
          </w:rPr>
          <w:t>https://doi.org/10.1111/biom.12817</w:t>
        </w:r>
      </w:hyperlink>
    </w:p>
    <w:p w14:paraId="22B5F282" w14:textId="77777777" w:rsidR="00D42EBF" w:rsidRPr="00277DC7" w:rsidRDefault="00D42EBF" w:rsidP="00D42EBF">
      <w:pPr>
        <w:spacing w:line="360" w:lineRule="auto"/>
        <w:ind w:left="709" w:hanging="709"/>
        <w:rPr>
          <w:rFonts w:cs="Times New Roman"/>
          <w:szCs w:val="24"/>
          <w:lang w:val="en-US"/>
        </w:rPr>
      </w:pPr>
      <w:bookmarkStart w:id="40" w:name="_Hlk198215425"/>
      <w:r w:rsidRPr="00277DC7">
        <w:rPr>
          <w:rFonts w:cs="Times New Roman"/>
          <w:szCs w:val="24"/>
          <w:lang w:val="en-US"/>
        </w:rPr>
        <w:lastRenderedPageBreak/>
        <w:t>Lyu</w:t>
      </w:r>
      <w:bookmarkEnd w:id="40"/>
      <w:r w:rsidRPr="00277DC7">
        <w:rPr>
          <w:rFonts w:cs="Times New Roman"/>
          <w:szCs w:val="24"/>
          <w:lang w:val="en-US"/>
        </w:rPr>
        <w:t xml:space="preserve">, Y., Lu, H., Lee, M., Schmitt, G., &amp; Lim, B. (2022). IF-City: Intelligible Fair City Planning to Measure, Explain and Mitigate Inequality. </w:t>
      </w:r>
      <w:r w:rsidRPr="00277DC7">
        <w:rPr>
          <w:rFonts w:cs="Times New Roman"/>
          <w:i/>
          <w:iCs/>
          <w:szCs w:val="24"/>
          <w:lang w:val="en-US"/>
        </w:rPr>
        <w:t>IEEE Transactions on Visualization and Computer Graphics</w:t>
      </w:r>
      <w:r w:rsidRPr="00277DC7">
        <w:rPr>
          <w:rFonts w:cs="Times New Roman"/>
          <w:szCs w:val="24"/>
          <w:lang w:val="en-US"/>
        </w:rPr>
        <w:t xml:space="preserve">, 30, 3749-3766. </w:t>
      </w:r>
      <w:hyperlink r:id="rId49" w:tgtFrame="_blank" w:history="1">
        <w:r w:rsidRPr="00277DC7">
          <w:rPr>
            <w:rStyle w:val="Hipervnculo"/>
            <w:rFonts w:cs="Times New Roman"/>
            <w:szCs w:val="24"/>
            <w:lang w:val="en-US"/>
          </w:rPr>
          <w:t>https://doi.org/10.1109/TVCG.2023.3239909</w:t>
        </w:r>
      </w:hyperlink>
    </w:p>
    <w:p w14:paraId="39251F5F" w14:textId="77777777" w:rsidR="00D42EBF" w:rsidRPr="00277DC7" w:rsidRDefault="00D42EBF" w:rsidP="00D42EBF">
      <w:pPr>
        <w:spacing w:line="360" w:lineRule="auto"/>
        <w:ind w:left="709" w:hanging="709"/>
        <w:rPr>
          <w:rFonts w:cs="Times New Roman"/>
          <w:szCs w:val="24"/>
          <w:lang w:val="en-US"/>
        </w:rPr>
      </w:pPr>
      <w:bookmarkStart w:id="41" w:name="_Hlk198215188"/>
      <w:r w:rsidRPr="00B3264F">
        <w:rPr>
          <w:rFonts w:cs="Times New Roman"/>
          <w:szCs w:val="24"/>
          <w:lang w:val="en-US"/>
        </w:rPr>
        <w:t>Madaio</w:t>
      </w:r>
      <w:bookmarkEnd w:id="41"/>
      <w:r w:rsidRPr="00B3264F">
        <w:rPr>
          <w:rFonts w:cs="Times New Roman"/>
          <w:szCs w:val="24"/>
          <w:lang w:val="en-US"/>
        </w:rPr>
        <w:t xml:space="preserve">, M., Egede, L., </w:t>
      </w:r>
      <w:proofErr w:type="spellStart"/>
      <w:r w:rsidRPr="00B3264F">
        <w:rPr>
          <w:rFonts w:cs="Times New Roman"/>
          <w:szCs w:val="24"/>
          <w:lang w:val="en-US"/>
        </w:rPr>
        <w:t>Subramonyam</w:t>
      </w:r>
      <w:proofErr w:type="spellEnd"/>
      <w:r w:rsidRPr="00B3264F">
        <w:rPr>
          <w:rFonts w:cs="Times New Roman"/>
          <w:szCs w:val="24"/>
          <w:lang w:val="en-US"/>
        </w:rPr>
        <w:t>, H., Vaughan, J.</w:t>
      </w:r>
      <w:r w:rsidRPr="00277DC7">
        <w:rPr>
          <w:rFonts w:cs="Times New Roman"/>
          <w:szCs w:val="24"/>
          <w:lang w:val="en-US"/>
        </w:rPr>
        <w:t xml:space="preserve">, &amp; Wallach, H. (2021). Assessing the Fairness of AI Systems: AI Practitioners' Processes, Challenges, and Needs for Support. </w:t>
      </w:r>
      <w:r w:rsidRPr="00277DC7">
        <w:rPr>
          <w:rFonts w:cs="Times New Roman"/>
          <w:i/>
          <w:iCs/>
          <w:szCs w:val="24"/>
          <w:lang w:val="en-US"/>
        </w:rPr>
        <w:t>Proceedings of the ACM on Human-Computer Interaction</w:t>
      </w:r>
      <w:r w:rsidRPr="00277DC7">
        <w:rPr>
          <w:rFonts w:cs="Times New Roman"/>
          <w:szCs w:val="24"/>
          <w:lang w:val="en-US"/>
        </w:rPr>
        <w:t xml:space="preserve">, 6, 1 - 26. </w:t>
      </w:r>
      <w:hyperlink r:id="rId50" w:tgtFrame="_blank" w:history="1">
        <w:r w:rsidRPr="00277DC7">
          <w:rPr>
            <w:rStyle w:val="Hipervnculo"/>
            <w:rFonts w:cs="Times New Roman"/>
            <w:szCs w:val="24"/>
            <w:lang w:val="en-US"/>
          </w:rPr>
          <w:t>https://doi.org/10.1145/3512899</w:t>
        </w:r>
      </w:hyperlink>
    </w:p>
    <w:p w14:paraId="6031578D" w14:textId="77777777" w:rsidR="00D42EBF" w:rsidRPr="00277DC7" w:rsidRDefault="00D42EBF" w:rsidP="00D42EBF">
      <w:pPr>
        <w:spacing w:line="360" w:lineRule="auto"/>
        <w:ind w:left="709" w:hanging="709"/>
        <w:rPr>
          <w:rFonts w:cs="Times New Roman"/>
          <w:szCs w:val="24"/>
          <w:lang w:val="en-US"/>
        </w:rPr>
      </w:pPr>
      <w:bookmarkStart w:id="42" w:name="_Hlk198217023"/>
      <w:proofErr w:type="spellStart"/>
      <w:r w:rsidRPr="00720F6F">
        <w:rPr>
          <w:rFonts w:cs="Times New Roman"/>
          <w:szCs w:val="24"/>
          <w:lang w:val="es-CO"/>
        </w:rPr>
        <w:t>Mazen</w:t>
      </w:r>
      <w:proofErr w:type="spellEnd"/>
      <w:r w:rsidRPr="00720F6F">
        <w:rPr>
          <w:rFonts w:cs="Times New Roman"/>
          <w:szCs w:val="24"/>
          <w:lang w:val="es-CO"/>
        </w:rPr>
        <w:t>, J.</w:t>
      </w:r>
      <w:r w:rsidRPr="00277DC7">
        <w:rPr>
          <w:rFonts w:cs="Times New Roman"/>
          <w:szCs w:val="24"/>
          <w:lang w:val="en-US"/>
        </w:rPr>
        <w:t>, &amp;</w:t>
      </w:r>
      <w:r w:rsidRPr="00720F6F">
        <w:rPr>
          <w:rFonts w:cs="Times New Roman"/>
          <w:szCs w:val="24"/>
          <w:lang w:val="es-CO"/>
        </w:rPr>
        <w:t xml:space="preserve"> </w:t>
      </w:r>
      <w:proofErr w:type="spellStart"/>
      <w:r w:rsidRPr="00720F6F">
        <w:rPr>
          <w:rFonts w:cs="Times New Roman"/>
          <w:szCs w:val="24"/>
          <w:lang w:val="es-CO"/>
        </w:rPr>
        <w:t>Tong</w:t>
      </w:r>
      <w:proofErr w:type="spellEnd"/>
      <w:r w:rsidRPr="00720F6F">
        <w:rPr>
          <w:rFonts w:cs="Times New Roman"/>
          <w:szCs w:val="24"/>
          <w:lang w:val="es-CO"/>
        </w:rPr>
        <w:t xml:space="preserve">, </w:t>
      </w:r>
      <w:bookmarkEnd w:id="42"/>
      <w:r w:rsidRPr="00720F6F">
        <w:rPr>
          <w:rFonts w:cs="Times New Roman"/>
          <w:szCs w:val="24"/>
          <w:lang w:val="es-CO"/>
        </w:rPr>
        <w:t xml:space="preserve">X. (2020). </w:t>
      </w:r>
      <w:r w:rsidRPr="00277DC7">
        <w:rPr>
          <w:rFonts w:cs="Times New Roman"/>
          <w:szCs w:val="24"/>
          <w:lang w:val="en-US"/>
        </w:rPr>
        <w:t xml:space="preserve">Bias Correction for Replacement Samples in Longitudinal Research. </w:t>
      </w:r>
      <w:r w:rsidRPr="00277DC7">
        <w:rPr>
          <w:rFonts w:cs="Times New Roman"/>
          <w:i/>
          <w:iCs/>
          <w:szCs w:val="24"/>
          <w:lang w:val="en-US"/>
        </w:rPr>
        <w:t>Multivariate Behavioral Research</w:t>
      </w:r>
      <w:r w:rsidRPr="00277DC7">
        <w:rPr>
          <w:rFonts w:cs="Times New Roman"/>
          <w:szCs w:val="24"/>
          <w:lang w:val="en-US"/>
        </w:rPr>
        <w:t xml:space="preserve">, 56, 805 - 827. </w:t>
      </w:r>
      <w:hyperlink r:id="rId51" w:tgtFrame="_blank" w:history="1">
        <w:r w:rsidRPr="00277DC7">
          <w:rPr>
            <w:rStyle w:val="Hipervnculo"/>
            <w:rFonts w:cs="Times New Roman"/>
            <w:szCs w:val="24"/>
            <w:lang w:val="en-US"/>
          </w:rPr>
          <w:t>https://doi.org/10.1080/00273171.2020.1794774</w:t>
        </w:r>
      </w:hyperlink>
    </w:p>
    <w:p w14:paraId="5FF8A678" w14:textId="0FA50485" w:rsidR="00D42EBF" w:rsidRPr="00277DC7" w:rsidRDefault="00D42EBF" w:rsidP="00D42EBF">
      <w:pPr>
        <w:spacing w:line="360" w:lineRule="auto"/>
        <w:ind w:left="709" w:hanging="709"/>
        <w:rPr>
          <w:rFonts w:cs="Times New Roman"/>
          <w:szCs w:val="24"/>
          <w:lang w:val="en-US"/>
        </w:rPr>
      </w:pPr>
      <w:bookmarkStart w:id="43" w:name="_Hlk198213069"/>
      <w:r w:rsidRPr="00B3264F">
        <w:rPr>
          <w:rFonts w:cs="Times New Roman"/>
          <w:szCs w:val="24"/>
          <w:lang w:val="en-US"/>
        </w:rPr>
        <w:t>McGregor</w:t>
      </w:r>
      <w:bookmarkEnd w:id="43"/>
      <w:r w:rsidRPr="00B3264F">
        <w:rPr>
          <w:rFonts w:cs="Times New Roman"/>
          <w:szCs w:val="24"/>
          <w:lang w:val="en-US"/>
        </w:rPr>
        <w:t>, L., Murray, D.</w:t>
      </w:r>
      <w:r w:rsidRPr="00277DC7">
        <w:rPr>
          <w:rFonts w:cs="Times New Roman"/>
          <w:szCs w:val="24"/>
          <w:lang w:val="en-US"/>
        </w:rPr>
        <w:t>, &amp;</w:t>
      </w:r>
      <w:r w:rsidRPr="00B3264F">
        <w:rPr>
          <w:rFonts w:cs="Times New Roman"/>
          <w:szCs w:val="24"/>
          <w:lang w:val="en-US"/>
        </w:rPr>
        <w:t xml:space="preserve"> Ng, V. (2019). </w:t>
      </w:r>
      <w:r w:rsidR="00B34643" w:rsidRPr="00277DC7">
        <w:rPr>
          <w:rFonts w:cs="Times New Roman"/>
          <w:szCs w:val="24"/>
          <w:lang w:val="en-US"/>
        </w:rPr>
        <w:t>International human rights law as a framework for algorithmic accountability</w:t>
      </w:r>
      <w:r w:rsidRPr="00277DC7">
        <w:rPr>
          <w:rFonts w:cs="Times New Roman"/>
          <w:szCs w:val="24"/>
          <w:lang w:val="en-US"/>
        </w:rPr>
        <w:t xml:space="preserve">. </w:t>
      </w:r>
      <w:r w:rsidRPr="00277DC7">
        <w:rPr>
          <w:rFonts w:cs="Times New Roman"/>
          <w:i/>
          <w:iCs/>
          <w:szCs w:val="24"/>
          <w:lang w:val="en-US"/>
        </w:rPr>
        <w:t>International and Comparative Law Quarterly</w:t>
      </w:r>
      <w:r w:rsidRPr="00277DC7">
        <w:rPr>
          <w:rFonts w:cs="Times New Roman"/>
          <w:szCs w:val="24"/>
          <w:lang w:val="en-US"/>
        </w:rPr>
        <w:t xml:space="preserve">, 68, 309 - 343. </w:t>
      </w:r>
      <w:hyperlink r:id="rId52" w:tgtFrame="_blank" w:history="1">
        <w:r w:rsidRPr="00277DC7">
          <w:rPr>
            <w:rStyle w:val="Hipervnculo"/>
            <w:rFonts w:cs="Times New Roman"/>
            <w:szCs w:val="24"/>
            <w:lang w:val="en-US"/>
          </w:rPr>
          <w:t>https://doi.org/10.1017/S0020589319000046</w:t>
        </w:r>
      </w:hyperlink>
    </w:p>
    <w:p w14:paraId="61173929" w14:textId="77777777" w:rsidR="00D42EBF" w:rsidRPr="00277DC7" w:rsidRDefault="00D42EBF" w:rsidP="00D42EBF">
      <w:pPr>
        <w:spacing w:line="360" w:lineRule="auto"/>
        <w:ind w:left="709" w:hanging="709"/>
        <w:rPr>
          <w:rFonts w:cs="Times New Roman"/>
          <w:szCs w:val="24"/>
          <w:lang w:val="en-US"/>
        </w:rPr>
      </w:pPr>
      <w:bookmarkStart w:id="44" w:name="_Hlk198211994"/>
      <w:r w:rsidRPr="00277DC7">
        <w:rPr>
          <w:rFonts w:cs="Times New Roman"/>
          <w:szCs w:val="24"/>
          <w:lang w:val="en-US"/>
        </w:rPr>
        <w:t>Mehrabi</w:t>
      </w:r>
      <w:bookmarkEnd w:id="44"/>
      <w:r w:rsidRPr="00277DC7">
        <w:rPr>
          <w:rFonts w:cs="Times New Roman"/>
          <w:szCs w:val="24"/>
          <w:lang w:val="en-US"/>
        </w:rPr>
        <w:t xml:space="preserve">, N., </w:t>
      </w:r>
      <w:proofErr w:type="spellStart"/>
      <w:r w:rsidRPr="00277DC7">
        <w:rPr>
          <w:rFonts w:cs="Times New Roman"/>
          <w:szCs w:val="24"/>
          <w:lang w:val="en-US"/>
        </w:rPr>
        <w:t>Morstatter</w:t>
      </w:r>
      <w:proofErr w:type="spellEnd"/>
      <w:r w:rsidRPr="00277DC7">
        <w:rPr>
          <w:rFonts w:cs="Times New Roman"/>
          <w:szCs w:val="24"/>
          <w:lang w:val="en-US"/>
        </w:rPr>
        <w:t xml:space="preserve">, F., Saxena, N., Lerman, K., &amp; Galstyan, A. (2019). A Survey on Bias and Fairness in Machine Learning. </w:t>
      </w:r>
      <w:r w:rsidRPr="00277DC7">
        <w:rPr>
          <w:rFonts w:cs="Times New Roman"/>
          <w:i/>
          <w:iCs/>
          <w:szCs w:val="24"/>
          <w:lang w:val="en-US"/>
        </w:rPr>
        <w:t>ACM Computing Surveys (CSUR)</w:t>
      </w:r>
      <w:r w:rsidRPr="00277DC7">
        <w:rPr>
          <w:rFonts w:cs="Times New Roman"/>
          <w:szCs w:val="24"/>
          <w:lang w:val="en-US"/>
        </w:rPr>
        <w:t xml:space="preserve">, 54, 1 - 35. </w:t>
      </w:r>
      <w:hyperlink r:id="rId53" w:tgtFrame="_blank" w:history="1">
        <w:r w:rsidRPr="00277DC7">
          <w:rPr>
            <w:rStyle w:val="Hipervnculo"/>
            <w:rFonts w:cs="Times New Roman"/>
            <w:szCs w:val="24"/>
            <w:lang w:val="en-US"/>
          </w:rPr>
          <w:t>https://doi.org/10.1145/3457607</w:t>
        </w:r>
      </w:hyperlink>
    </w:p>
    <w:p w14:paraId="52F8C57E" w14:textId="77777777" w:rsidR="00D42EBF" w:rsidRPr="00277DC7" w:rsidRDefault="00D42EBF" w:rsidP="00D42EBF">
      <w:pPr>
        <w:spacing w:line="360" w:lineRule="auto"/>
        <w:ind w:left="709" w:hanging="709"/>
        <w:rPr>
          <w:rFonts w:cs="Times New Roman"/>
          <w:szCs w:val="24"/>
          <w:lang w:val="en-US"/>
        </w:rPr>
      </w:pPr>
      <w:bookmarkStart w:id="45" w:name="_Hlk198216703"/>
      <w:r w:rsidRPr="00277DC7">
        <w:rPr>
          <w:rFonts w:cs="Times New Roman"/>
          <w:szCs w:val="24"/>
          <w:lang w:val="en-US"/>
        </w:rPr>
        <w:t>Miroshnikov</w:t>
      </w:r>
      <w:bookmarkEnd w:id="45"/>
      <w:r w:rsidRPr="00277DC7">
        <w:rPr>
          <w:rFonts w:cs="Times New Roman"/>
          <w:szCs w:val="24"/>
          <w:lang w:val="en-US"/>
        </w:rPr>
        <w:t xml:space="preserve">, A., Kotsiopoulos, K., Franks, R., &amp; Kannan, A. (2020). Wasserstein-based fairness interpretability framework for machine learning models. </w:t>
      </w:r>
      <w:r w:rsidRPr="00277DC7">
        <w:rPr>
          <w:rFonts w:cs="Times New Roman"/>
          <w:i/>
          <w:iCs/>
          <w:szCs w:val="24"/>
          <w:lang w:val="en-US"/>
        </w:rPr>
        <w:t>Machine Learning</w:t>
      </w:r>
      <w:r w:rsidRPr="00277DC7">
        <w:rPr>
          <w:rFonts w:cs="Times New Roman"/>
          <w:szCs w:val="24"/>
          <w:lang w:val="en-US"/>
        </w:rPr>
        <w:t xml:space="preserve">, 111, 3307 - 3357. </w:t>
      </w:r>
      <w:hyperlink r:id="rId54" w:tgtFrame="_blank" w:history="1">
        <w:r w:rsidRPr="00277DC7">
          <w:rPr>
            <w:rStyle w:val="Hipervnculo"/>
            <w:rFonts w:cs="Times New Roman"/>
            <w:szCs w:val="24"/>
            <w:lang w:val="en-US"/>
          </w:rPr>
          <w:t>https://doi.org/10.1007/s10994-022-06213-9</w:t>
        </w:r>
      </w:hyperlink>
    </w:p>
    <w:p w14:paraId="2CBD4652" w14:textId="77777777" w:rsidR="00D42EBF" w:rsidRPr="00720F6F" w:rsidRDefault="00D42EBF" w:rsidP="00D42EBF">
      <w:pPr>
        <w:spacing w:line="360" w:lineRule="auto"/>
        <w:ind w:left="709" w:hanging="709"/>
        <w:rPr>
          <w:rFonts w:cs="Times New Roman"/>
          <w:szCs w:val="24"/>
          <w:lang w:val="es-CO"/>
        </w:rPr>
      </w:pPr>
      <w:r w:rsidRPr="00277DC7">
        <w:rPr>
          <w:rFonts w:cs="Times New Roman"/>
          <w:szCs w:val="24"/>
          <w:lang w:val="en-US"/>
        </w:rPr>
        <w:t xml:space="preserve">Mogrovejo Andrade, J. M. (2022). </w:t>
      </w:r>
      <w:r w:rsidRPr="00720F6F">
        <w:rPr>
          <w:rFonts w:cs="Times New Roman"/>
          <w:szCs w:val="24"/>
          <w:lang w:val="es-CO"/>
        </w:rPr>
        <w:t xml:space="preserve">Estrategias resilientes y mecanismos de las organizaciones para mitigar los efectos ocasionados por la pandemia a nivel internacional. </w:t>
      </w:r>
      <w:r w:rsidRPr="00720F6F">
        <w:rPr>
          <w:rFonts w:cs="Times New Roman"/>
          <w:i/>
          <w:iCs/>
          <w:szCs w:val="24"/>
          <w:lang w:val="es-CO"/>
        </w:rPr>
        <w:t>Región Científica</w:t>
      </w:r>
      <w:r w:rsidRPr="00720F6F">
        <w:rPr>
          <w:rFonts w:cs="Times New Roman"/>
          <w:szCs w:val="24"/>
          <w:lang w:val="es-CO"/>
        </w:rPr>
        <w:t>,</w:t>
      </w:r>
      <w:r w:rsidRPr="00720F6F">
        <w:rPr>
          <w:rFonts w:cs="Times New Roman"/>
          <w:i/>
          <w:iCs/>
          <w:szCs w:val="24"/>
          <w:lang w:val="es-CO"/>
        </w:rPr>
        <w:t xml:space="preserve"> 1</w:t>
      </w:r>
      <w:r w:rsidRPr="00720F6F">
        <w:rPr>
          <w:rFonts w:cs="Times New Roman"/>
          <w:szCs w:val="24"/>
          <w:lang w:val="es-CO"/>
        </w:rPr>
        <w:t xml:space="preserve">(1), 202211. </w:t>
      </w:r>
      <w:hyperlink r:id="rId55" w:history="1">
        <w:r w:rsidRPr="00720F6F">
          <w:rPr>
            <w:rStyle w:val="Hipervnculo"/>
            <w:rFonts w:cs="Times New Roman"/>
            <w:szCs w:val="24"/>
            <w:lang w:val="es-CO"/>
          </w:rPr>
          <w:t>https://doi.org/10.58763/rc202211</w:t>
        </w:r>
      </w:hyperlink>
      <w:r w:rsidRPr="00720F6F">
        <w:rPr>
          <w:rFonts w:cs="Times New Roman"/>
          <w:szCs w:val="24"/>
          <w:lang w:val="es-CO"/>
        </w:rPr>
        <w:t xml:space="preserve"> </w:t>
      </w:r>
    </w:p>
    <w:p w14:paraId="743F7F91" w14:textId="77777777" w:rsidR="00D42EBF" w:rsidRPr="00277DC7" w:rsidRDefault="00D42EBF" w:rsidP="00D42EBF">
      <w:pPr>
        <w:spacing w:line="360" w:lineRule="auto"/>
        <w:ind w:left="709" w:hanging="709"/>
        <w:rPr>
          <w:rFonts w:cs="Times New Roman"/>
          <w:szCs w:val="24"/>
          <w:lang w:val="en-US"/>
        </w:rPr>
      </w:pPr>
      <w:bookmarkStart w:id="46" w:name="_Hlk198208997"/>
      <w:proofErr w:type="spellStart"/>
      <w:r w:rsidRPr="00B3264F">
        <w:rPr>
          <w:rFonts w:cs="Times New Roman"/>
          <w:szCs w:val="24"/>
          <w:lang w:val="en-US"/>
        </w:rPr>
        <w:t>Mökander</w:t>
      </w:r>
      <w:bookmarkEnd w:id="46"/>
      <w:proofErr w:type="spellEnd"/>
      <w:r w:rsidRPr="00B3264F">
        <w:rPr>
          <w:rFonts w:cs="Times New Roman"/>
          <w:szCs w:val="24"/>
          <w:lang w:val="en-US"/>
        </w:rPr>
        <w:t>, J., Juneja, P., Watson, D.</w:t>
      </w:r>
      <w:r w:rsidRPr="00720F6F">
        <w:rPr>
          <w:rFonts w:cs="Times New Roman"/>
          <w:szCs w:val="24"/>
          <w:lang w:val="es-CO"/>
        </w:rPr>
        <w:t xml:space="preserve">, &amp; </w:t>
      </w:r>
      <w:proofErr w:type="spellStart"/>
      <w:r w:rsidRPr="00720F6F">
        <w:rPr>
          <w:rFonts w:cs="Times New Roman"/>
          <w:szCs w:val="24"/>
          <w:lang w:val="es-CO"/>
        </w:rPr>
        <w:t>Floridi</w:t>
      </w:r>
      <w:proofErr w:type="spellEnd"/>
      <w:r w:rsidRPr="00720F6F">
        <w:rPr>
          <w:rFonts w:cs="Times New Roman"/>
          <w:szCs w:val="24"/>
          <w:lang w:val="es-CO"/>
        </w:rPr>
        <w:t xml:space="preserve">, L. (2022). </w:t>
      </w:r>
      <w:r w:rsidRPr="00277DC7">
        <w:rPr>
          <w:rFonts w:cs="Times New Roman"/>
          <w:szCs w:val="24"/>
          <w:lang w:val="en-US"/>
        </w:rPr>
        <w:t xml:space="preserve">The US Algorithmic Accountability Act of 2022 vs. The EU Artificial Intelligence Act: what can they learn from each </w:t>
      </w:r>
      <w:proofErr w:type="gramStart"/>
      <w:r w:rsidRPr="00277DC7">
        <w:rPr>
          <w:rFonts w:cs="Times New Roman"/>
          <w:szCs w:val="24"/>
          <w:lang w:val="en-US"/>
        </w:rPr>
        <w:t>other?.</w:t>
      </w:r>
      <w:proofErr w:type="gramEnd"/>
      <w:r w:rsidRPr="00277DC7">
        <w:rPr>
          <w:rFonts w:cs="Times New Roman"/>
          <w:szCs w:val="24"/>
          <w:lang w:val="en-US"/>
        </w:rPr>
        <w:t xml:space="preserve"> </w:t>
      </w:r>
      <w:r w:rsidRPr="00277DC7">
        <w:rPr>
          <w:rFonts w:cs="Times New Roman"/>
          <w:i/>
          <w:iCs/>
          <w:szCs w:val="24"/>
          <w:lang w:val="en-US"/>
        </w:rPr>
        <w:t>Minds and Machines</w:t>
      </w:r>
      <w:r w:rsidRPr="00277DC7">
        <w:rPr>
          <w:rFonts w:cs="Times New Roman"/>
          <w:szCs w:val="24"/>
          <w:lang w:val="en-US"/>
        </w:rPr>
        <w:t xml:space="preserve">, 32, 751 - 758. </w:t>
      </w:r>
      <w:hyperlink r:id="rId56" w:tgtFrame="_blank" w:history="1">
        <w:r w:rsidRPr="00277DC7">
          <w:rPr>
            <w:rStyle w:val="Hipervnculo"/>
            <w:rFonts w:cs="Times New Roman"/>
            <w:szCs w:val="24"/>
            <w:lang w:val="en-US"/>
          </w:rPr>
          <w:t>https://doi.org/10.1007/s11023-022-09612-y</w:t>
        </w:r>
      </w:hyperlink>
    </w:p>
    <w:p w14:paraId="430DDE54" w14:textId="77777777" w:rsidR="00D42EBF" w:rsidRPr="00277DC7" w:rsidRDefault="00D42EBF" w:rsidP="00D42EBF">
      <w:pPr>
        <w:spacing w:line="360" w:lineRule="auto"/>
        <w:ind w:left="709" w:hanging="709"/>
        <w:rPr>
          <w:rFonts w:cs="Times New Roman"/>
          <w:szCs w:val="24"/>
          <w:lang w:val="en-US"/>
        </w:rPr>
      </w:pPr>
      <w:bookmarkStart w:id="47" w:name="_Hlk198218438"/>
      <w:r w:rsidRPr="00277DC7">
        <w:rPr>
          <w:rFonts w:cs="Times New Roman"/>
          <w:szCs w:val="24"/>
          <w:lang w:val="en-US"/>
        </w:rPr>
        <w:t>Morgan</w:t>
      </w:r>
      <w:bookmarkEnd w:id="47"/>
      <w:r w:rsidRPr="00277DC7">
        <w:rPr>
          <w:rFonts w:cs="Times New Roman"/>
          <w:szCs w:val="24"/>
          <w:lang w:val="en-US"/>
        </w:rPr>
        <w:t xml:space="preserve">, A., </w:t>
      </w:r>
      <w:proofErr w:type="spellStart"/>
      <w:r w:rsidRPr="00277DC7">
        <w:rPr>
          <w:rFonts w:cs="Times New Roman"/>
          <w:szCs w:val="24"/>
          <w:lang w:val="en-US"/>
        </w:rPr>
        <w:t>Chaiyachati</w:t>
      </w:r>
      <w:proofErr w:type="spellEnd"/>
      <w:r w:rsidRPr="00277DC7">
        <w:rPr>
          <w:rFonts w:cs="Times New Roman"/>
          <w:szCs w:val="24"/>
          <w:lang w:val="en-US"/>
        </w:rPr>
        <w:t xml:space="preserve">, K., Weissman, G., &amp; Liao, J. (2018). Eliminating Gender-Based Bias in Academic Medicine: More Than Naming the “Elephant in the Room”. </w:t>
      </w:r>
      <w:r w:rsidRPr="00277DC7">
        <w:rPr>
          <w:rFonts w:cs="Times New Roman"/>
          <w:i/>
          <w:iCs/>
          <w:szCs w:val="24"/>
          <w:lang w:val="en-US"/>
        </w:rPr>
        <w:t>Journal of General Internal Medicine</w:t>
      </w:r>
      <w:r w:rsidRPr="00277DC7">
        <w:rPr>
          <w:rFonts w:cs="Times New Roman"/>
          <w:szCs w:val="24"/>
          <w:lang w:val="en-US"/>
        </w:rPr>
        <w:t xml:space="preserve">, 33, 966-968. </w:t>
      </w:r>
      <w:hyperlink r:id="rId57" w:tgtFrame="_blank" w:history="1">
        <w:r w:rsidRPr="00277DC7">
          <w:rPr>
            <w:rStyle w:val="Hipervnculo"/>
            <w:rFonts w:cs="Times New Roman"/>
            <w:szCs w:val="24"/>
            <w:lang w:val="en-US"/>
          </w:rPr>
          <w:t>https://doi.org/10.1007/s11606-018-4411-0</w:t>
        </w:r>
      </w:hyperlink>
    </w:p>
    <w:p w14:paraId="061711B7" w14:textId="77777777" w:rsidR="00D42EBF" w:rsidRPr="00277DC7" w:rsidRDefault="00D42EBF" w:rsidP="00D42EBF">
      <w:pPr>
        <w:spacing w:line="360" w:lineRule="auto"/>
        <w:ind w:left="709" w:hanging="709"/>
        <w:rPr>
          <w:rFonts w:cs="Times New Roman"/>
          <w:szCs w:val="24"/>
          <w:lang w:val="en-US"/>
        </w:rPr>
      </w:pPr>
      <w:bookmarkStart w:id="48" w:name="_Hlk198216925"/>
      <w:proofErr w:type="spellStart"/>
      <w:r w:rsidRPr="00720F6F">
        <w:rPr>
          <w:rFonts w:cs="Times New Roman"/>
          <w:szCs w:val="24"/>
          <w:lang w:val="es-CO"/>
        </w:rPr>
        <w:t>Ngxande</w:t>
      </w:r>
      <w:bookmarkEnd w:id="48"/>
      <w:proofErr w:type="spellEnd"/>
      <w:r w:rsidRPr="00720F6F">
        <w:rPr>
          <w:rFonts w:cs="Times New Roman"/>
          <w:szCs w:val="24"/>
          <w:lang w:val="es-CO"/>
        </w:rPr>
        <w:t xml:space="preserve">, M., </w:t>
      </w:r>
      <w:proofErr w:type="spellStart"/>
      <w:r w:rsidRPr="00720F6F">
        <w:rPr>
          <w:rFonts w:cs="Times New Roman"/>
          <w:szCs w:val="24"/>
          <w:lang w:val="es-CO"/>
        </w:rPr>
        <w:t>Tapamo</w:t>
      </w:r>
      <w:proofErr w:type="spellEnd"/>
      <w:r w:rsidRPr="00720F6F">
        <w:rPr>
          <w:rFonts w:cs="Times New Roman"/>
          <w:szCs w:val="24"/>
          <w:lang w:val="es-CO"/>
        </w:rPr>
        <w:t>, J.</w:t>
      </w:r>
      <w:r w:rsidRPr="00277DC7">
        <w:rPr>
          <w:rFonts w:cs="Times New Roman"/>
          <w:szCs w:val="24"/>
          <w:lang w:val="en-US"/>
        </w:rPr>
        <w:t>, &amp;</w:t>
      </w:r>
      <w:r w:rsidRPr="00720F6F">
        <w:rPr>
          <w:rFonts w:cs="Times New Roman"/>
          <w:szCs w:val="24"/>
          <w:lang w:val="es-CO"/>
        </w:rPr>
        <w:t xml:space="preserve"> </w:t>
      </w:r>
      <w:proofErr w:type="spellStart"/>
      <w:r w:rsidRPr="00720F6F">
        <w:rPr>
          <w:rFonts w:cs="Times New Roman"/>
          <w:szCs w:val="24"/>
          <w:lang w:val="es-CO"/>
        </w:rPr>
        <w:t>Burke</w:t>
      </w:r>
      <w:proofErr w:type="spellEnd"/>
      <w:r w:rsidRPr="00720F6F">
        <w:rPr>
          <w:rFonts w:cs="Times New Roman"/>
          <w:szCs w:val="24"/>
          <w:lang w:val="es-CO"/>
        </w:rPr>
        <w:t xml:space="preserve">, M. (2019). </w:t>
      </w:r>
      <w:r w:rsidRPr="00277DC7">
        <w:rPr>
          <w:rFonts w:cs="Times New Roman"/>
          <w:szCs w:val="24"/>
          <w:lang w:val="en-US"/>
        </w:rPr>
        <w:t xml:space="preserve">Bias Remediation in Driver Drowsiness Detection Systems Using Generative Adversarial Networks. </w:t>
      </w:r>
      <w:r w:rsidRPr="00277DC7">
        <w:rPr>
          <w:rFonts w:cs="Times New Roman"/>
          <w:i/>
          <w:iCs/>
          <w:szCs w:val="24"/>
          <w:lang w:val="en-US"/>
        </w:rPr>
        <w:t>IEEE Access</w:t>
      </w:r>
      <w:r w:rsidRPr="00277DC7">
        <w:rPr>
          <w:rFonts w:cs="Times New Roman"/>
          <w:szCs w:val="24"/>
          <w:lang w:val="en-US"/>
        </w:rPr>
        <w:t xml:space="preserve">, 8, 55592-55601. </w:t>
      </w:r>
      <w:hyperlink r:id="rId58" w:tgtFrame="_blank" w:history="1">
        <w:r w:rsidRPr="00277DC7">
          <w:rPr>
            <w:rStyle w:val="Hipervnculo"/>
            <w:rFonts w:cs="Times New Roman"/>
            <w:szCs w:val="24"/>
            <w:lang w:val="en-US"/>
          </w:rPr>
          <w:t>https://doi.org/10.1109/ACCESS.2020.2981912</w:t>
        </w:r>
      </w:hyperlink>
    </w:p>
    <w:p w14:paraId="3E0F3AC0" w14:textId="77777777" w:rsidR="00D42EBF" w:rsidRPr="00277DC7" w:rsidRDefault="00D42EBF" w:rsidP="00D42EBF">
      <w:pPr>
        <w:spacing w:line="360" w:lineRule="auto"/>
        <w:ind w:left="709" w:hanging="709"/>
        <w:rPr>
          <w:rFonts w:cs="Times New Roman"/>
          <w:szCs w:val="24"/>
          <w:lang w:val="en-US"/>
        </w:rPr>
      </w:pPr>
      <w:bookmarkStart w:id="49" w:name="_Hlk198211849"/>
      <w:proofErr w:type="spellStart"/>
      <w:r w:rsidRPr="00277DC7">
        <w:rPr>
          <w:rFonts w:cs="Times New Roman"/>
          <w:szCs w:val="24"/>
          <w:lang w:val="en-US"/>
        </w:rPr>
        <w:lastRenderedPageBreak/>
        <w:t>Ntoutsi</w:t>
      </w:r>
      <w:bookmarkEnd w:id="49"/>
      <w:proofErr w:type="spellEnd"/>
      <w:r w:rsidRPr="00277DC7">
        <w:rPr>
          <w:rFonts w:cs="Times New Roman"/>
          <w:szCs w:val="24"/>
          <w:lang w:val="en-US"/>
        </w:rPr>
        <w:t xml:space="preserve">, E., Fafalios, P., Gadiraju, U., Iosifidis, V., </w:t>
      </w:r>
      <w:proofErr w:type="spellStart"/>
      <w:r w:rsidRPr="00277DC7">
        <w:rPr>
          <w:rFonts w:cs="Times New Roman"/>
          <w:szCs w:val="24"/>
          <w:lang w:val="en-US"/>
        </w:rPr>
        <w:t>Nejdl</w:t>
      </w:r>
      <w:proofErr w:type="spellEnd"/>
      <w:r w:rsidRPr="00277DC7">
        <w:rPr>
          <w:rFonts w:cs="Times New Roman"/>
          <w:szCs w:val="24"/>
          <w:lang w:val="en-US"/>
        </w:rPr>
        <w:t xml:space="preserve">, W., Vidal, M., Ruggieri, S., Turini, F., Papadopoulos, S., </w:t>
      </w:r>
      <w:proofErr w:type="spellStart"/>
      <w:r w:rsidRPr="00277DC7">
        <w:rPr>
          <w:rFonts w:cs="Times New Roman"/>
          <w:szCs w:val="24"/>
          <w:lang w:val="en-US"/>
        </w:rPr>
        <w:t>Krasanakis</w:t>
      </w:r>
      <w:proofErr w:type="spellEnd"/>
      <w:r w:rsidRPr="00277DC7">
        <w:rPr>
          <w:rFonts w:cs="Times New Roman"/>
          <w:szCs w:val="24"/>
          <w:lang w:val="en-US"/>
        </w:rPr>
        <w:t xml:space="preserve">, E., </w:t>
      </w:r>
      <w:proofErr w:type="spellStart"/>
      <w:r w:rsidRPr="00277DC7">
        <w:rPr>
          <w:rFonts w:cs="Times New Roman"/>
          <w:szCs w:val="24"/>
          <w:lang w:val="en-US"/>
        </w:rPr>
        <w:t>Kompatsiaris</w:t>
      </w:r>
      <w:proofErr w:type="spellEnd"/>
      <w:r w:rsidRPr="00277DC7">
        <w:rPr>
          <w:rFonts w:cs="Times New Roman"/>
          <w:szCs w:val="24"/>
          <w:lang w:val="en-US"/>
        </w:rPr>
        <w:t>, I., Kinder-</w:t>
      </w:r>
      <w:proofErr w:type="spellStart"/>
      <w:r w:rsidRPr="00277DC7">
        <w:rPr>
          <w:rFonts w:cs="Times New Roman"/>
          <w:szCs w:val="24"/>
          <w:lang w:val="en-US"/>
        </w:rPr>
        <w:t>Kurlanda</w:t>
      </w:r>
      <w:proofErr w:type="spellEnd"/>
      <w:r w:rsidRPr="00277DC7">
        <w:rPr>
          <w:rFonts w:cs="Times New Roman"/>
          <w:szCs w:val="24"/>
          <w:lang w:val="en-US"/>
        </w:rPr>
        <w:t xml:space="preserve">, K., Wagner, C., Karimi, F., Fernández, M., Alani, H., Berendt, B., Kruegel, T., Heinze, C., </w:t>
      </w:r>
      <w:proofErr w:type="spellStart"/>
      <w:r w:rsidRPr="00277DC7">
        <w:rPr>
          <w:rFonts w:cs="Times New Roman"/>
          <w:szCs w:val="24"/>
          <w:lang w:val="en-US"/>
        </w:rPr>
        <w:t>Broelemann</w:t>
      </w:r>
      <w:proofErr w:type="spellEnd"/>
      <w:r w:rsidRPr="00277DC7">
        <w:rPr>
          <w:rFonts w:cs="Times New Roman"/>
          <w:szCs w:val="24"/>
          <w:lang w:val="en-US"/>
        </w:rPr>
        <w:t xml:space="preserve">, K., Kasneci, G., </w:t>
      </w:r>
      <w:proofErr w:type="spellStart"/>
      <w:r w:rsidRPr="00277DC7">
        <w:rPr>
          <w:rFonts w:cs="Times New Roman"/>
          <w:szCs w:val="24"/>
          <w:lang w:val="en-US"/>
        </w:rPr>
        <w:t>Tiropanis</w:t>
      </w:r>
      <w:proofErr w:type="spellEnd"/>
      <w:r w:rsidRPr="00277DC7">
        <w:rPr>
          <w:rFonts w:cs="Times New Roman"/>
          <w:szCs w:val="24"/>
          <w:lang w:val="en-US"/>
        </w:rPr>
        <w:t xml:space="preserve">, T., &amp; Staab, S. (2020). Bias in data‐driven artificial intelligence systems—An introductory survey. </w:t>
      </w:r>
      <w:r w:rsidRPr="00277DC7">
        <w:rPr>
          <w:rFonts w:cs="Times New Roman"/>
          <w:i/>
          <w:iCs/>
          <w:szCs w:val="24"/>
          <w:lang w:val="en-US"/>
        </w:rPr>
        <w:t>Wiley Interdisciplinary Reviews: Data Mining and Knowledge Discovery</w:t>
      </w:r>
      <w:r w:rsidRPr="00277DC7">
        <w:rPr>
          <w:rFonts w:cs="Times New Roman"/>
          <w:szCs w:val="24"/>
          <w:lang w:val="en-US"/>
        </w:rPr>
        <w:t xml:space="preserve">, 10. </w:t>
      </w:r>
      <w:hyperlink r:id="rId59" w:tgtFrame="_blank" w:history="1">
        <w:r w:rsidRPr="00277DC7">
          <w:rPr>
            <w:rStyle w:val="Hipervnculo"/>
            <w:rFonts w:cs="Times New Roman"/>
            <w:szCs w:val="24"/>
            <w:lang w:val="en-US"/>
          </w:rPr>
          <w:t>https://doi.org/10.1002/widm.1356</w:t>
        </w:r>
      </w:hyperlink>
    </w:p>
    <w:p w14:paraId="694DA41A" w14:textId="77777777" w:rsidR="00D42EBF" w:rsidRPr="00720F6F" w:rsidRDefault="00D42EBF" w:rsidP="00D42EBF">
      <w:pPr>
        <w:spacing w:line="360" w:lineRule="auto"/>
        <w:ind w:left="709" w:hanging="709"/>
        <w:rPr>
          <w:rFonts w:cs="Times New Roman"/>
          <w:szCs w:val="24"/>
          <w:lang w:val="es-CO"/>
        </w:rPr>
      </w:pPr>
      <w:r w:rsidRPr="00720F6F">
        <w:rPr>
          <w:rFonts w:cs="Times New Roman"/>
          <w:szCs w:val="24"/>
          <w:lang w:val="es-CO"/>
        </w:rPr>
        <w:t xml:space="preserve">Orozco Castillo, E. A. (2022). Experiencias en torno al emprendimiento femenino. </w:t>
      </w:r>
      <w:r w:rsidRPr="00720F6F">
        <w:rPr>
          <w:rFonts w:cs="Times New Roman"/>
          <w:i/>
          <w:iCs/>
          <w:szCs w:val="24"/>
          <w:lang w:val="es-CO"/>
        </w:rPr>
        <w:t>Región Científica</w:t>
      </w:r>
      <w:r w:rsidRPr="00720F6F">
        <w:rPr>
          <w:rFonts w:cs="Times New Roman"/>
          <w:szCs w:val="24"/>
          <w:lang w:val="es-CO"/>
        </w:rPr>
        <w:t>,</w:t>
      </w:r>
      <w:r w:rsidRPr="00720F6F">
        <w:rPr>
          <w:rFonts w:cs="Times New Roman"/>
          <w:i/>
          <w:iCs/>
          <w:szCs w:val="24"/>
          <w:lang w:val="es-CO"/>
        </w:rPr>
        <w:t xml:space="preserve"> 1</w:t>
      </w:r>
      <w:r w:rsidRPr="00720F6F">
        <w:rPr>
          <w:rFonts w:cs="Times New Roman"/>
          <w:szCs w:val="24"/>
          <w:lang w:val="es-CO"/>
        </w:rPr>
        <w:t xml:space="preserve">(1), 20227. </w:t>
      </w:r>
      <w:hyperlink r:id="rId60" w:history="1">
        <w:r w:rsidRPr="00720F6F">
          <w:rPr>
            <w:rStyle w:val="Hipervnculo"/>
            <w:rFonts w:cs="Times New Roman"/>
            <w:szCs w:val="24"/>
            <w:lang w:val="es-CO"/>
          </w:rPr>
          <w:t>https://doi.org/10.58763/rc20225</w:t>
        </w:r>
      </w:hyperlink>
      <w:r w:rsidRPr="00720F6F">
        <w:rPr>
          <w:rFonts w:cs="Times New Roman"/>
          <w:szCs w:val="24"/>
          <w:lang w:val="es-CO"/>
        </w:rPr>
        <w:t xml:space="preserve"> </w:t>
      </w:r>
    </w:p>
    <w:p w14:paraId="629D56CE" w14:textId="347186F1" w:rsidR="00D42EBF" w:rsidRPr="00720F6F" w:rsidRDefault="00D42EBF" w:rsidP="00D42EBF">
      <w:pPr>
        <w:spacing w:line="360" w:lineRule="auto"/>
        <w:ind w:left="709" w:hanging="709"/>
        <w:rPr>
          <w:rFonts w:cs="Times New Roman"/>
          <w:szCs w:val="24"/>
          <w:lang w:val="es-CO"/>
        </w:rPr>
      </w:pPr>
      <w:r w:rsidRPr="00720F6F">
        <w:rPr>
          <w:rFonts w:cs="Times New Roman"/>
          <w:szCs w:val="24"/>
          <w:lang w:val="es-CO"/>
        </w:rPr>
        <w:t xml:space="preserve">Pérez Gamboa, A. J., García Acevedo, Y. </w:t>
      </w:r>
      <w:r w:rsidR="00BB396C">
        <w:rPr>
          <w:rFonts w:cs="Times New Roman"/>
          <w:szCs w:val="24"/>
          <w:lang w:val="es-CO"/>
        </w:rPr>
        <w:t>y</w:t>
      </w:r>
      <w:r w:rsidRPr="00720F6F">
        <w:rPr>
          <w:rFonts w:cs="Times New Roman"/>
          <w:szCs w:val="24"/>
          <w:lang w:val="es-CO"/>
        </w:rPr>
        <w:t xml:space="preserve"> García Batán, J. (2019). Proyecto de vida y proceso formativo universitario: un estudio exploratorio en la Universidad de Camagüey. </w:t>
      </w:r>
      <w:proofErr w:type="spellStart"/>
      <w:r w:rsidRPr="00720F6F">
        <w:rPr>
          <w:rFonts w:cs="Times New Roman"/>
          <w:i/>
          <w:iCs/>
          <w:szCs w:val="24"/>
          <w:lang w:val="es-CO"/>
        </w:rPr>
        <w:t>Trasnsformación</w:t>
      </w:r>
      <w:proofErr w:type="spellEnd"/>
      <w:r w:rsidRPr="00720F6F">
        <w:rPr>
          <w:rFonts w:cs="Times New Roman"/>
          <w:szCs w:val="24"/>
          <w:lang w:val="es-CO"/>
        </w:rPr>
        <w:t>,</w:t>
      </w:r>
      <w:r w:rsidRPr="00720F6F">
        <w:rPr>
          <w:rFonts w:cs="Times New Roman"/>
          <w:i/>
          <w:iCs/>
          <w:szCs w:val="24"/>
          <w:lang w:val="es-CO"/>
        </w:rPr>
        <w:t xml:space="preserve"> 15</w:t>
      </w:r>
      <w:r w:rsidRPr="00720F6F">
        <w:rPr>
          <w:rFonts w:cs="Times New Roman"/>
          <w:szCs w:val="24"/>
          <w:lang w:val="es-CO"/>
        </w:rPr>
        <w:t xml:space="preserve">(3), 280-296. </w:t>
      </w:r>
      <w:hyperlink r:id="rId61" w:history="1">
        <w:r w:rsidRPr="00720F6F">
          <w:rPr>
            <w:rStyle w:val="Hipervnculo"/>
            <w:rFonts w:cs="Times New Roman"/>
            <w:szCs w:val="24"/>
            <w:lang w:val="es-CO"/>
          </w:rPr>
          <w:t>http://scielo.sld.cu/scielo.php?script=sci_arttext&amp;pid=S2077-29552019000300280</w:t>
        </w:r>
      </w:hyperlink>
      <w:r w:rsidRPr="00720F6F">
        <w:rPr>
          <w:rFonts w:cs="Times New Roman"/>
          <w:szCs w:val="24"/>
          <w:lang w:val="es-CO"/>
        </w:rPr>
        <w:t xml:space="preserve"> </w:t>
      </w:r>
    </w:p>
    <w:p w14:paraId="4918031D" w14:textId="77777777" w:rsidR="00D42EBF" w:rsidRPr="00277DC7" w:rsidRDefault="00D42EBF" w:rsidP="00D42EBF">
      <w:pPr>
        <w:spacing w:line="360" w:lineRule="auto"/>
        <w:ind w:left="709" w:hanging="709"/>
        <w:rPr>
          <w:rFonts w:cs="Times New Roman"/>
          <w:szCs w:val="24"/>
          <w:lang w:val="en-US"/>
        </w:rPr>
      </w:pPr>
      <w:bookmarkStart w:id="50" w:name="_Hlk198213794"/>
      <w:r w:rsidRPr="00720F6F">
        <w:rPr>
          <w:rFonts w:cs="Times New Roman"/>
          <w:szCs w:val="24"/>
          <w:lang w:val="es-CO"/>
        </w:rPr>
        <w:t>Pérez-Gamboa</w:t>
      </w:r>
      <w:bookmarkEnd w:id="50"/>
      <w:r w:rsidRPr="00720F6F">
        <w:rPr>
          <w:rFonts w:cs="Times New Roman"/>
          <w:szCs w:val="24"/>
          <w:lang w:val="es-CO"/>
        </w:rPr>
        <w:t xml:space="preserve">, A. J., Gómez-Cano, C., &amp; Sánchez-Castillo, V. (2022). </w:t>
      </w:r>
      <w:r w:rsidRPr="00277DC7">
        <w:rPr>
          <w:rFonts w:cs="Times New Roman"/>
          <w:szCs w:val="24"/>
          <w:lang w:val="en-US"/>
        </w:rPr>
        <w:t xml:space="preserve">Decision making in university contexts based on knowledge management systems. </w:t>
      </w:r>
      <w:r w:rsidRPr="00277DC7">
        <w:rPr>
          <w:rFonts w:cs="Times New Roman"/>
          <w:i/>
          <w:iCs/>
          <w:szCs w:val="24"/>
          <w:lang w:val="en-US"/>
        </w:rPr>
        <w:t>Data &amp; Metadata</w:t>
      </w:r>
      <w:r w:rsidRPr="00277DC7">
        <w:rPr>
          <w:rFonts w:cs="Times New Roman"/>
          <w:szCs w:val="24"/>
          <w:lang w:val="en-US"/>
        </w:rPr>
        <w:t>,</w:t>
      </w:r>
      <w:r w:rsidRPr="00277DC7">
        <w:rPr>
          <w:rFonts w:cs="Times New Roman"/>
          <w:i/>
          <w:iCs/>
          <w:szCs w:val="24"/>
          <w:lang w:val="en-US"/>
        </w:rPr>
        <w:t xml:space="preserve"> 2</w:t>
      </w:r>
      <w:r w:rsidRPr="00277DC7">
        <w:rPr>
          <w:rFonts w:cs="Times New Roman"/>
          <w:szCs w:val="24"/>
          <w:lang w:val="en-US"/>
        </w:rPr>
        <w:t xml:space="preserve">, 92. </w:t>
      </w:r>
      <w:hyperlink r:id="rId62" w:history="1">
        <w:r w:rsidRPr="00277DC7">
          <w:rPr>
            <w:rStyle w:val="Hipervnculo"/>
            <w:rFonts w:cs="Times New Roman"/>
            <w:szCs w:val="24"/>
            <w:lang w:val="en-US"/>
          </w:rPr>
          <w:t>https://doi.org/10.56294/dm202292</w:t>
        </w:r>
      </w:hyperlink>
      <w:r w:rsidRPr="00277DC7">
        <w:rPr>
          <w:rFonts w:cs="Times New Roman"/>
          <w:szCs w:val="24"/>
          <w:lang w:val="en-US"/>
        </w:rPr>
        <w:t xml:space="preserve">  </w:t>
      </w:r>
    </w:p>
    <w:p w14:paraId="393C470D" w14:textId="77777777" w:rsidR="00D42EBF" w:rsidRPr="00277DC7" w:rsidRDefault="00D42EBF" w:rsidP="00D42EBF">
      <w:pPr>
        <w:spacing w:line="360" w:lineRule="auto"/>
        <w:ind w:left="709" w:hanging="709"/>
        <w:rPr>
          <w:rFonts w:cs="Times New Roman"/>
          <w:szCs w:val="24"/>
          <w:lang w:val="en-US"/>
        </w:rPr>
      </w:pPr>
      <w:bookmarkStart w:id="51" w:name="_Hlk198212211"/>
      <w:r w:rsidRPr="00277DC7">
        <w:rPr>
          <w:rFonts w:cs="Times New Roman"/>
          <w:szCs w:val="24"/>
          <w:lang w:val="en-US"/>
        </w:rPr>
        <w:t>Peters, U. (2022)</w:t>
      </w:r>
      <w:bookmarkEnd w:id="51"/>
      <w:r w:rsidRPr="00277DC7">
        <w:rPr>
          <w:rFonts w:cs="Times New Roman"/>
          <w:szCs w:val="24"/>
          <w:lang w:val="en-US"/>
        </w:rPr>
        <w:t xml:space="preserve">. Algorithmic Political Bias in Artificial Intelligence Systems. </w:t>
      </w:r>
      <w:r w:rsidRPr="00277DC7">
        <w:rPr>
          <w:rFonts w:cs="Times New Roman"/>
          <w:i/>
          <w:iCs/>
          <w:szCs w:val="24"/>
          <w:lang w:val="en-US"/>
        </w:rPr>
        <w:t>Philosophy &amp; Technology</w:t>
      </w:r>
      <w:r w:rsidRPr="00277DC7">
        <w:rPr>
          <w:rFonts w:cs="Times New Roman"/>
          <w:szCs w:val="24"/>
          <w:lang w:val="en-US"/>
        </w:rPr>
        <w:t xml:space="preserve">, 35. </w:t>
      </w:r>
      <w:hyperlink r:id="rId63" w:tgtFrame="_blank" w:history="1">
        <w:r w:rsidRPr="00277DC7">
          <w:rPr>
            <w:rStyle w:val="Hipervnculo"/>
            <w:rFonts w:cs="Times New Roman"/>
            <w:szCs w:val="24"/>
            <w:lang w:val="en-US"/>
          </w:rPr>
          <w:t>https://doi.org/10.1007/s13347-022-00512-8</w:t>
        </w:r>
      </w:hyperlink>
    </w:p>
    <w:p w14:paraId="587E9D8E" w14:textId="254F3681" w:rsidR="00D42EBF" w:rsidRPr="00277DC7" w:rsidRDefault="00D42EBF" w:rsidP="00D42EBF">
      <w:pPr>
        <w:spacing w:line="360" w:lineRule="auto"/>
        <w:ind w:left="709" w:hanging="709"/>
        <w:rPr>
          <w:rFonts w:cs="Times New Roman"/>
          <w:szCs w:val="24"/>
          <w:lang w:val="en-US"/>
        </w:rPr>
      </w:pPr>
      <w:bookmarkStart w:id="52" w:name="_Hlk198215658"/>
      <w:r w:rsidRPr="00277DC7">
        <w:rPr>
          <w:rFonts w:cs="Times New Roman"/>
          <w:szCs w:val="24"/>
          <w:lang w:val="en-US"/>
        </w:rPr>
        <w:t>Petersen</w:t>
      </w:r>
      <w:bookmarkEnd w:id="52"/>
      <w:r w:rsidRPr="00277DC7">
        <w:rPr>
          <w:rFonts w:cs="Times New Roman"/>
          <w:szCs w:val="24"/>
          <w:lang w:val="en-US"/>
        </w:rPr>
        <w:t xml:space="preserve">, J., Ranker, L., Barnard-Mayers, R., Maclehose, R., &amp; Fox, M. (2021). A systematic review of quantitative bias analysis applied to epidemiological research. </w:t>
      </w:r>
      <w:r w:rsidRPr="00277DC7">
        <w:rPr>
          <w:rFonts w:cs="Times New Roman"/>
          <w:i/>
          <w:iCs/>
          <w:szCs w:val="24"/>
          <w:lang w:val="en-US"/>
        </w:rPr>
        <w:t>International journal of epidemiology</w:t>
      </w:r>
      <w:r w:rsidRPr="00277DC7">
        <w:rPr>
          <w:rFonts w:cs="Times New Roman"/>
          <w:szCs w:val="24"/>
          <w:lang w:val="en-US"/>
        </w:rPr>
        <w:t xml:space="preserve">. </w:t>
      </w:r>
      <w:hyperlink r:id="rId64" w:tgtFrame="_blank" w:history="1">
        <w:r w:rsidRPr="00277DC7">
          <w:rPr>
            <w:rStyle w:val="Hipervnculo"/>
            <w:rFonts w:cs="Times New Roman"/>
            <w:szCs w:val="24"/>
            <w:lang w:val="en-US"/>
          </w:rPr>
          <w:t>https://doi.org/10.1093/ije/dyab061</w:t>
        </w:r>
      </w:hyperlink>
    </w:p>
    <w:p w14:paraId="0C6F36A4" w14:textId="77777777" w:rsidR="00D42EBF" w:rsidRPr="00277DC7" w:rsidRDefault="00D42EBF" w:rsidP="00D42EBF">
      <w:pPr>
        <w:spacing w:line="360" w:lineRule="auto"/>
        <w:ind w:left="709" w:hanging="709"/>
        <w:rPr>
          <w:rFonts w:cs="Times New Roman"/>
          <w:szCs w:val="24"/>
          <w:lang w:val="en-US"/>
        </w:rPr>
      </w:pPr>
      <w:bookmarkStart w:id="53" w:name="_Hlk198218047"/>
      <w:r w:rsidRPr="00277DC7">
        <w:rPr>
          <w:rFonts w:cs="Times New Roman"/>
          <w:szCs w:val="24"/>
          <w:lang w:val="en-US"/>
        </w:rPr>
        <w:t>Petrenko, A. (2020)</w:t>
      </w:r>
      <w:bookmarkEnd w:id="53"/>
      <w:r w:rsidRPr="00277DC7">
        <w:rPr>
          <w:rFonts w:cs="Times New Roman"/>
          <w:szCs w:val="24"/>
          <w:lang w:val="en-US"/>
        </w:rPr>
        <w:t xml:space="preserve">. OECD acts as instruments of soft international law. </w:t>
      </w:r>
      <w:r w:rsidRPr="00277DC7">
        <w:rPr>
          <w:rFonts w:cs="Times New Roman"/>
          <w:i/>
          <w:iCs/>
          <w:szCs w:val="24"/>
          <w:lang w:val="en-US"/>
        </w:rPr>
        <w:t>Law Review of Kyiv University of Law</w:t>
      </w:r>
      <w:r w:rsidRPr="00277DC7">
        <w:rPr>
          <w:rFonts w:cs="Times New Roman"/>
          <w:szCs w:val="24"/>
          <w:lang w:val="en-US"/>
        </w:rPr>
        <w:t xml:space="preserve">. </w:t>
      </w:r>
      <w:hyperlink r:id="rId65" w:tgtFrame="_blank" w:history="1">
        <w:r w:rsidRPr="00277DC7">
          <w:rPr>
            <w:rStyle w:val="Hipervnculo"/>
            <w:rFonts w:cs="Times New Roman"/>
            <w:szCs w:val="24"/>
            <w:lang w:val="en-US"/>
          </w:rPr>
          <w:t>https://doi.org/10.36695/2219-5521.3.2020.74</w:t>
        </w:r>
      </w:hyperlink>
    </w:p>
    <w:p w14:paraId="218FF431" w14:textId="77777777" w:rsidR="00D42EBF" w:rsidRPr="00277DC7" w:rsidRDefault="00D42EBF" w:rsidP="00D42EBF">
      <w:pPr>
        <w:spacing w:line="360" w:lineRule="auto"/>
        <w:ind w:left="709" w:hanging="709"/>
        <w:rPr>
          <w:rFonts w:cs="Times New Roman"/>
          <w:szCs w:val="24"/>
          <w:lang w:val="en-US"/>
        </w:rPr>
      </w:pPr>
      <w:bookmarkStart w:id="54" w:name="_Hlk198216446"/>
      <w:r w:rsidRPr="00720F6F">
        <w:rPr>
          <w:rFonts w:cs="Times New Roman"/>
          <w:szCs w:val="24"/>
          <w:lang w:val="es-CO"/>
        </w:rPr>
        <w:t>Pospisil, D.</w:t>
      </w:r>
      <w:r w:rsidRPr="00277DC7">
        <w:rPr>
          <w:rFonts w:cs="Times New Roman"/>
          <w:szCs w:val="24"/>
          <w:lang w:val="en-US"/>
        </w:rPr>
        <w:t>, &amp;</w:t>
      </w:r>
      <w:r w:rsidRPr="00720F6F">
        <w:rPr>
          <w:rFonts w:cs="Times New Roman"/>
          <w:szCs w:val="24"/>
          <w:lang w:val="es-CO"/>
        </w:rPr>
        <w:t xml:space="preserve"> </w:t>
      </w:r>
      <w:proofErr w:type="spellStart"/>
      <w:r w:rsidRPr="00720F6F">
        <w:rPr>
          <w:rFonts w:cs="Times New Roman"/>
          <w:szCs w:val="24"/>
          <w:lang w:val="es-CO"/>
        </w:rPr>
        <w:t>Bair</w:t>
      </w:r>
      <w:proofErr w:type="spellEnd"/>
      <w:r w:rsidRPr="00720F6F">
        <w:rPr>
          <w:rFonts w:cs="Times New Roman"/>
          <w:szCs w:val="24"/>
          <w:lang w:val="es-CO"/>
        </w:rPr>
        <w:t xml:space="preserve">, </w:t>
      </w:r>
      <w:bookmarkEnd w:id="54"/>
      <w:r w:rsidRPr="00720F6F">
        <w:rPr>
          <w:rFonts w:cs="Times New Roman"/>
          <w:szCs w:val="24"/>
          <w:lang w:val="es-CO"/>
        </w:rPr>
        <w:t xml:space="preserve">W. (2022). </w:t>
      </w:r>
      <w:r w:rsidRPr="00277DC7">
        <w:rPr>
          <w:rFonts w:cs="Times New Roman"/>
          <w:szCs w:val="24"/>
          <w:lang w:val="en-US"/>
        </w:rPr>
        <w:t xml:space="preserve">Accounting for Bias in the Estimation of r2 between Two Sets of Noisy Neural Responses. </w:t>
      </w:r>
      <w:r w:rsidRPr="00277DC7">
        <w:rPr>
          <w:rFonts w:cs="Times New Roman"/>
          <w:i/>
          <w:iCs/>
          <w:szCs w:val="24"/>
          <w:lang w:val="en-US"/>
        </w:rPr>
        <w:t>The Journal of Neuroscience</w:t>
      </w:r>
      <w:r w:rsidRPr="00277DC7">
        <w:rPr>
          <w:rFonts w:cs="Times New Roman"/>
          <w:szCs w:val="24"/>
          <w:lang w:val="en-US"/>
        </w:rPr>
        <w:t xml:space="preserve">, 42, 9343 - 9355. </w:t>
      </w:r>
      <w:hyperlink r:id="rId66" w:tgtFrame="_blank" w:history="1">
        <w:r w:rsidRPr="00277DC7">
          <w:rPr>
            <w:rStyle w:val="Hipervnculo"/>
            <w:rFonts w:cs="Times New Roman"/>
            <w:szCs w:val="24"/>
            <w:lang w:val="en-US"/>
          </w:rPr>
          <w:t>https://doi.org/10.1523/JNEUROSCI.0198-22.2022</w:t>
        </w:r>
      </w:hyperlink>
    </w:p>
    <w:p w14:paraId="2A97C1A3" w14:textId="77777777" w:rsidR="00D42EBF" w:rsidRPr="00720F6F" w:rsidRDefault="00D42EBF" w:rsidP="00D42EBF">
      <w:pPr>
        <w:spacing w:line="360" w:lineRule="auto"/>
        <w:ind w:left="709" w:hanging="709"/>
        <w:rPr>
          <w:rFonts w:cs="Times New Roman"/>
          <w:szCs w:val="24"/>
          <w:lang w:val="es-CO"/>
        </w:rPr>
      </w:pPr>
      <w:r w:rsidRPr="00277DC7">
        <w:rPr>
          <w:rFonts w:cs="Times New Roman"/>
          <w:szCs w:val="24"/>
          <w:lang w:val="en-US"/>
        </w:rPr>
        <w:t xml:space="preserve">Ricardo Jiménez, L. S. (2022). </w:t>
      </w:r>
      <w:r w:rsidRPr="00720F6F">
        <w:rPr>
          <w:rFonts w:cs="Times New Roman"/>
          <w:szCs w:val="24"/>
          <w:lang w:val="es-CO"/>
        </w:rPr>
        <w:t xml:space="preserve">Dimensiones de emprendimiento: Relación educativa. El caso del programa cumbre. </w:t>
      </w:r>
      <w:r w:rsidRPr="00720F6F">
        <w:rPr>
          <w:rFonts w:cs="Times New Roman"/>
          <w:i/>
          <w:iCs/>
          <w:szCs w:val="24"/>
          <w:lang w:val="es-CO"/>
        </w:rPr>
        <w:t>Región Científica</w:t>
      </w:r>
      <w:r w:rsidRPr="00720F6F">
        <w:rPr>
          <w:rFonts w:cs="Times New Roman"/>
          <w:szCs w:val="24"/>
          <w:lang w:val="es-CO"/>
        </w:rPr>
        <w:t>,</w:t>
      </w:r>
      <w:r w:rsidRPr="00720F6F">
        <w:rPr>
          <w:rFonts w:cs="Times New Roman"/>
          <w:i/>
          <w:iCs/>
          <w:szCs w:val="24"/>
          <w:lang w:val="es-CO"/>
        </w:rPr>
        <w:t xml:space="preserve"> 1</w:t>
      </w:r>
      <w:r w:rsidRPr="00720F6F">
        <w:rPr>
          <w:rFonts w:cs="Times New Roman"/>
          <w:szCs w:val="24"/>
          <w:lang w:val="es-CO"/>
        </w:rPr>
        <w:t xml:space="preserve">(1), 202210. </w:t>
      </w:r>
      <w:hyperlink r:id="rId67" w:history="1">
        <w:r w:rsidRPr="00720F6F">
          <w:rPr>
            <w:rStyle w:val="Hipervnculo"/>
            <w:rFonts w:cs="Times New Roman"/>
            <w:szCs w:val="24"/>
            <w:lang w:val="es-CO"/>
          </w:rPr>
          <w:t>https://doi.org/10.58763/rc202210</w:t>
        </w:r>
      </w:hyperlink>
      <w:r w:rsidRPr="00720F6F">
        <w:rPr>
          <w:rFonts w:cs="Times New Roman"/>
          <w:szCs w:val="24"/>
          <w:lang w:val="es-CO"/>
        </w:rPr>
        <w:t xml:space="preserve"> </w:t>
      </w:r>
    </w:p>
    <w:p w14:paraId="1AEC48C8" w14:textId="77777777" w:rsidR="00D42EBF" w:rsidRPr="00277DC7" w:rsidRDefault="00D42EBF" w:rsidP="00D42EBF">
      <w:pPr>
        <w:spacing w:line="360" w:lineRule="auto"/>
        <w:ind w:left="709" w:hanging="709"/>
        <w:rPr>
          <w:rFonts w:cs="Times New Roman"/>
          <w:szCs w:val="24"/>
          <w:lang w:val="en-US"/>
        </w:rPr>
      </w:pPr>
      <w:bookmarkStart w:id="55" w:name="_Hlk198217898"/>
      <w:r w:rsidRPr="00277DC7">
        <w:rPr>
          <w:rFonts w:cs="Times New Roman"/>
          <w:szCs w:val="24"/>
          <w:lang w:val="en-US"/>
        </w:rPr>
        <w:t xml:space="preserve">Ringe, W., &amp; Ruof, </w:t>
      </w:r>
      <w:bookmarkEnd w:id="55"/>
      <w:r w:rsidRPr="00277DC7">
        <w:rPr>
          <w:rFonts w:cs="Times New Roman"/>
          <w:szCs w:val="24"/>
          <w:lang w:val="en-US"/>
        </w:rPr>
        <w:t xml:space="preserve">C. (2020). Regulating Fintech in the EU: the Case for a Guided Sandbox. </w:t>
      </w:r>
      <w:r w:rsidRPr="00277DC7">
        <w:rPr>
          <w:rFonts w:cs="Times New Roman"/>
          <w:i/>
          <w:iCs/>
          <w:szCs w:val="24"/>
          <w:lang w:val="en-US"/>
        </w:rPr>
        <w:t>European Journal of Risk Regulation</w:t>
      </w:r>
      <w:r w:rsidRPr="00277DC7">
        <w:rPr>
          <w:rFonts w:cs="Times New Roman"/>
          <w:szCs w:val="24"/>
          <w:lang w:val="en-US"/>
        </w:rPr>
        <w:t xml:space="preserve">, 11, 604 - 629. </w:t>
      </w:r>
      <w:hyperlink r:id="rId68" w:tgtFrame="_blank" w:history="1">
        <w:r w:rsidRPr="00277DC7">
          <w:rPr>
            <w:rStyle w:val="Hipervnculo"/>
            <w:rFonts w:cs="Times New Roman"/>
            <w:szCs w:val="24"/>
            <w:lang w:val="en-US"/>
          </w:rPr>
          <w:t>https://doi.org/10.1017/err.2020.8</w:t>
        </w:r>
      </w:hyperlink>
    </w:p>
    <w:p w14:paraId="75B0EDD4" w14:textId="77777777" w:rsidR="00D42EBF" w:rsidRPr="00277DC7" w:rsidRDefault="00D42EBF" w:rsidP="00D42EBF">
      <w:pPr>
        <w:spacing w:line="360" w:lineRule="auto"/>
        <w:ind w:left="709" w:hanging="709"/>
        <w:rPr>
          <w:rFonts w:cs="Times New Roman"/>
          <w:szCs w:val="24"/>
          <w:lang w:val="en-US"/>
        </w:rPr>
      </w:pPr>
      <w:r w:rsidRPr="00720F6F">
        <w:rPr>
          <w:rFonts w:cs="Times New Roman"/>
          <w:szCs w:val="24"/>
          <w:lang w:val="es-CO"/>
        </w:rPr>
        <w:lastRenderedPageBreak/>
        <w:t xml:space="preserve">Rodríguez-Torres, E., Gómez-Cano, C., &amp; Sánchez-Castillo, V. (2022). </w:t>
      </w:r>
      <w:r w:rsidRPr="00277DC7">
        <w:rPr>
          <w:rFonts w:cs="Times New Roman"/>
          <w:szCs w:val="24"/>
          <w:lang w:val="en-US"/>
        </w:rPr>
        <w:t xml:space="preserve">Management information systems and their impact on business decision making. </w:t>
      </w:r>
      <w:r w:rsidRPr="00277DC7">
        <w:rPr>
          <w:rFonts w:cs="Times New Roman"/>
          <w:i/>
          <w:iCs/>
          <w:szCs w:val="24"/>
          <w:lang w:val="en-US"/>
        </w:rPr>
        <w:t>Data &amp; Metadata</w:t>
      </w:r>
      <w:r w:rsidRPr="00277DC7">
        <w:rPr>
          <w:rFonts w:cs="Times New Roman"/>
          <w:szCs w:val="24"/>
          <w:lang w:val="en-US"/>
        </w:rPr>
        <w:t>,</w:t>
      </w:r>
      <w:r w:rsidRPr="00277DC7">
        <w:rPr>
          <w:rFonts w:cs="Times New Roman"/>
          <w:i/>
          <w:iCs/>
          <w:szCs w:val="24"/>
          <w:lang w:val="en-US"/>
        </w:rPr>
        <w:t xml:space="preserve"> 1</w:t>
      </w:r>
      <w:r w:rsidRPr="00277DC7">
        <w:rPr>
          <w:rFonts w:cs="Times New Roman"/>
          <w:szCs w:val="24"/>
          <w:lang w:val="en-US"/>
        </w:rPr>
        <w:t xml:space="preserve">, 21. </w:t>
      </w:r>
      <w:hyperlink r:id="rId69" w:history="1">
        <w:r w:rsidRPr="00277DC7">
          <w:rPr>
            <w:rStyle w:val="Hipervnculo"/>
            <w:rFonts w:cs="Times New Roman"/>
            <w:szCs w:val="24"/>
            <w:lang w:val="en-US"/>
          </w:rPr>
          <w:t>https://doi.org/10.56294/dm202221</w:t>
        </w:r>
      </w:hyperlink>
      <w:r w:rsidRPr="00277DC7">
        <w:rPr>
          <w:rFonts w:cs="Times New Roman"/>
          <w:szCs w:val="24"/>
          <w:lang w:val="en-US"/>
        </w:rPr>
        <w:t xml:space="preserve"> </w:t>
      </w:r>
    </w:p>
    <w:p w14:paraId="1FA0E1AB" w14:textId="77777777" w:rsidR="00D42EBF" w:rsidRPr="00277DC7" w:rsidRDefault="00D42EBF" w:rsidP="00D42EBF">
      <w:pPr>
        <w:spacing w:line="360" w:lineRule="auto"/>
        <w:ind w:left="709" w:hanging="709"/>
        <w:rPr>
          <w:rFonts w:cs="Times New Roman"/>
          <w:szCs w:val="24"/>
          <w:lang w:val="en-US"/>
        </w:rPr>
      </w:pPr>
      <w:bookmarkStart w:id="56" w:name="_Hlk198217147"/>
      <w:r w:rsidRPr="00277DC7">
        <w:rPr>
          <w:rFonts w:cs="Times New Roman"/>
          <w:szCs w:val="24"/>
          <w:lang w:val="en-US"/>
        </w:rPr>
        <w:t xml:space="preserve">Royal, </w:t>
      </w:r>
      <w:bookmarkEnd w:id="56"/>
      <w:r w:rsidRPr="00277DC7">
        <w:rPr>
          <w:rFonts w:cs="Times New Roman"/>
          <w:szCs w:val="24"/>
          <w:lang w:val="en-US"/>
        </w:rPr>
        <w:t xml:space="preserve">K. (2019). Survey research methods: A guide for creating post-stratification weights to correct for sample bias. </w:t>
      </w:r>
      <w:r w:rsidRPr="00277DC7">
        <w:rPr>
          <w:rFonts w:cs="Times New Roman"/>
          <w:i/>
          <w:iCs/>
          <w:szCs w:val="24"/>
          <w:lang w:val="en-US"/>
        </w:rPr>
        <w:t>Education in the Health Professions</w:t>
      </w:r>
      <w:r w:rsidRPr="00277DC7">
        <w:rPr>
          <w:rFonts w:cs="Times New Roman"/>
          <w:szCs w:val="24"/>
          <w:lang w:val="en-US"/>
        </w:rPr>
        <w:t xml:space="preserve">, 2, 48 - 50. </w:t>
      </w:r>
      <w:hyperlink r:id="rId70" w:tgtFrame="_blank" w:history="1">
        <w:r w:rsidRPr="00277DC7">
          <w:rPr>
            <w:rStyle w:val="Hipervnculo"/>
            <w:rFonts w:cs="Times New Roman"/>
            <w:szCs w:val="24"/>
            <w:lang w:val="en-US"/>
          </w:rPr>
          <w:t>https://doi.org/10.4103/EHP.EHP_8_19</w:t>
        </w:r>
      </w:hyperlink>
    </w:p>
    <w:p w14:paraId="79FE1623" w14:textId="77777777" w:rsidR="00D42EBF" w:rsidRPr="00720F6F" w:rsidRDefault="00D42EBF" w:rsidP="00D42EBF">
      <w:pPr>
        <w:spacing w:line="360" w:lineRule="auto"/>
        <w:ind w:left="709" w:hanging="709"/>
        <w:rPr>
          <w:rFonts w:cs="Times New Roman"/>
          <w:szCs w:val="24"/>
          <w:lang w:val="es-CO"/>
        </w:rPr>
      </w:pPr>
      <w:bookmarkStart w:id="57" w:name="_Hlk198217401"/>
      <w:r w:rsidRPr="00277DC7">
        <w:rPr>
          <w:rFonts w:cs="Times New Roman"/>
          <w:szCs w:val="24"/>
          <w:lang w:val="en-US"/>
        </w:rPr>
        <w:t>Rus</w:t>
      </w:r>
      <w:bookmarkEnd w:id="57"/>
      <w:r w:rsidRPr="00277DC7">
        <w:rPr>
          <w:rFonts w:cs="Times New Roman"/>
          <w:szCs w:val="24"/>
          <w:lang w:val="en-US"/>
        </w:rPr>
        <w:t xml:space="preserve">, C., Luppes, J., Oosterhuis, H., &amp; </w:t>
      </w:r>
      <w:proofErr w:type="spellStart"/>
      <w:r w:rsidRPr="00277DC7">
        <w:rPr>
          <w:rFonts w:cs="Times New Roman"/>
          <w:szCs w:val="24"/>
          <w:lang w:val="en-US"/>
        </w:rPr>
        <w:t>Schoenmacker</w:t>
      </w:r>
      <w:proofErr w:type="spellEnd"/>
      <w:r w:rsidRPr="00277DC7">
        <w:rPr>
          <w:rFonts w:cs="Times New Roman"/>
          <w:szCs w:val="24"/>
          <w:lang w:val="en-US"/>
        </w:rPr>
        <w:t xml:space="preserve">, G. (2022). Closing the Gender Wage Gap: Adversarial Fairness in Job Recommendation. </w:t>
      </w:r>
      <w:proofErr w:type="spellStart"/>
      <w:r w:rsidRPr="00720F6F">
        <w:rPr>
          <w:rFonts w:cs="Times New Roman"/>
          <w:i/>
          <w:iCs/>
          <w:szCs w:val="24"/>
          <w:lang w:val="es-CO"/>
        </w:rPr>
        <w:t>ArXiv</w:t>
      </w:r>
      <w:proofErr w:type="spellEnd"/>
      <w:r w:rsidRPr="00720F6F">
        <w:rPr>
          <w:rFonts w:cs="Times New Roman"/>
          <w:szCs w:val="24"/>
          <w:lang w:val="es-CO"/>
        </w:rPr>
        <w:t xml:space="preserve">, </w:t>
      </w:r>
      <w:proofErr w:type="spellStart"/>
      <w:r w:rsidRPr="00720F6F">
        <w:rPr>
          <w:rFonts w:cs="Times New Roman"/>
          <w:szCs w:val="24"/>
          <w:lang w:val="es-CO"/>
        </w:rPr>
        <w:t>abs</w:t>
      </w:r>
      <w:proofErr w:type="spellEnd"/>
      <w:r w:rsidRPr="00720F6F">
        <w:rPr>
          <w:rFonts w:cs="Times New Roman"/>
          <w:szCs w:val="24"/>
          <w:lang w:val="es-CO"/>
        </w:rPr>
        <w:t xml:space="preserve">/2209.09592. </w:t>
      </w:r>
      <w:hyperlink r:id="rId71" w:tgtFrame="_blank" w:history="1">
        <w:r w:rsidRPr="00720F6F">
          <w:rPr>
            <w:rStyle w:val="Hipervnculo"/>
            <w:rFonts w:cs="Times New Roman"/>
            <w:szCs w:val="24"/>
            <w:lang w:val="es-CO"/>
          </w:rPr>
          <w:t>https://doi.org/10.48550/arXiv.2209.09592</w:t>
        </w:r>
      </w:hyperlink>
    </w:p>
    <w:p w14:paraId="23A445B0" w14:textId="77777777" w:rsidR="00D42EBF" w:rsidRPr="00720F6F" w:rsidRDefault="00D42EBF" w:rsidP="00D42EBF">
      <w:pPr>
        <w:spacing w:line="360" w:lineRule="auto"/>
        <w:ind w:left="709" w:hanging="709"/>
        <w:rPr>
          <w:rFonts w:cs="Times New Roman"/>
          <w:szCs w:val="24"/>
          <w:lang w:val="es-CO"/>
        </w:rPr>
      </w:pPr>
      <w:r w:rsidRPr="00720F6F">
        <w:rPr>
          <w:rFonts w:cs="Times New Roman"/>
          <w:szCs w:val="24"/>
          <w:lang w:val="es-CO"/>
        </w:rPr>
        <w:t xml:space="preserve">Sanabria Martínez, M. J. (2022). Construir nuevos espacios sostenibles respetando la diversidad cultural desde el nivel local. </w:t>
      </w:r>
      <w:r w:rsidRPr="00720F6F">
        <w:rPr>
          <w:rFonts w:cs="Times New Roman"/>
          <w:i/>
          <w:iCs/>
          <w:szCs w:val="24"/>
          <w:lang w:val="es-CO"/>
        </w:rPr>
        <w:t>Región Científica</w:t>
      </w:r>
      <w:r w:rsidRPr="00720F6F">
        <w:rPr>
          <w:rFonts w:cs="Times New Roman"/>
          <w:szCs w:val="24"/>
          <w:lang w:val="es-CO"/>
        </w:rPr>
        <w:t>,</w:t>
      </w:r>
      <w:r w:rsidRPr="00720F6F">
        <w:rPr>
          <w:rFonts w:cs="Times New Roman"/>
          <w:i/>
          <w:iCs/>
          <w:szCs w:val="24"/>
          <w:lang w:val="es-CO"/>
        </w:rPr>
        <w:t xml:space="preserve"> 1</w:t>
      </w:r>
      <w:r w:rsidRPr="00720F6F">
        <w:rPr>
          <w:rFonts w:cs="Times New Roman"/>
          <w:szCs w:val="24"/>
          <w:lang w:val="es-CO"/>
        </w:rPr>
        <w:t xml:space="preserve">(1), 20222. </w:t>
      </w:r>
      <w:hyperlink r:id="rId72" w:history="1">
        <w:r w:rsidRPr="00720F6F">
          <w:rPr>
            <w:rStyle w:val="Hipervnculo"/>
            <w:rFonts w:cs="Times New Roman"/>
            <w:szCs w:val="24"/>
            <w:lang w:val="es-CO"/>
          </w:rPr>
          <w:t>https://doi.org/10.58763/rc20222</w:t>
        </w:r>
      </w:hyperlink>
      <w:r w:rsidRPr="00720F6F">
        <w:rPr>
          <w:rFonts w:cs="Times New Roman"/>
          <w:szCs w:val="24"/>
          <w:lang w:val="es-CO"/>
        </w:rPr>
        <w:t xml:space="preserve"> </w:t>
      </w:r>
    </w:p>
    <w:p w14:paraId="701225E9" w14:textId="2C75D33F" w:rsidR="00D42EBF" w:rsidRPr="00277DC7" w:rsidRDefault="00D42EBF" w:rsidP="00D42EBF">
      <w:pPr>
        <w:spacing w:line="360" w:lineRule="auto"/>
        <w:ind w:left="709" w:hanging="709"/>
        <w:rPr>
          <w:rFonts w:cs="Times New Roman"/>
          <w:szCs w:val="24"/>
          <w:lang w:val="en-US"/>
        </w:rPr>
      </w:pPr>
      <w:bookmarkStart w:id="58" w:name="_Hlk198217345"/>
      <w:r w:rsidRPr="00B3264F">
        <w:rPr>
          <w:rFonts w:cs="Times New Roman"/>
          <w:szCs w:val="24"/>
          <w:lang w:val="en-US"/>
        </w:rPr>
        <w:t>Shen</w:t>
      </w:r>
      <w:bookmarkEnd w:id="58"/>
      <w:r w:rsidRPr="00B3264F">
        <w:rPr>
          <w:rFonts w:cs="Times New Roman"/>
          <w:szCs w:val="24"/>
          <w:lang w:val="en-US"/>
        </w:rPr>
        <w:t xml:space="preserve">, A., Han, X., Cohn, T., Baldwin, T., &amp; </w:t>
      </w:r>
      <w:proofErr w:type="spellStart"/>
      <w:r w:rsidRPr="00B3264F">
        <w:rPr>
          <w:rFonts w:cs="Times New Roman"/>
          <w:szCs w:val="24"/>
          <w:lang w:val="en-US"/>
        </w:rPr>
        <w:t>Frermann</w:t>
      </w:r>
      <w:proofErr w:type="spellEnd"/>
      <w:r w:rsidRPr="00B3264F">
        <w:rPr>
          <w:rFonts w:cs="Times New Roman"/>
          <w:szCs w:val="24"/>
          <w:lang w:val="en-US"/>
        </w:rPr>
        <w:t xml:space="preserve">, L. (2022). </w:t>
      </w:r>
      <w:r w:rsidRPr="00277DC7">
        <w:rPr>
          <w:rFonts w:cs="Times New Roman"/>
          <w:szCs w:val="24"/>
          <w:lang w:val="en-US"/>
        </w:rPr>
        <w:t xml:space="preserve">Does Representational Fairness Imply Empirical Fairness? 81-95. </w:t>
      </w:r>
      <w:hyperlink r:id="rId73" w:tgtFrame="_blank" w:history="1">
        <w:r w:rsidRPr="00277DC7">
          <w:rPr>
            <w:rStyle w:val="Hipervnculo"/>
            <w:rFonts w:cs="Times New Roman"/>
            <w:szCs w:val="24"/>
            <w:lang w:val="en-US"/>
          </w:rPr>
          <w:t>https://doi.org/10.18653/v1/2022.findings-aacl.8</w:t>
        </w:r>
      </w:hyperlink>
    </w:p>
    <w:p w14:paraId="03454599" w14:textId="401FBBAB" w:rsidR="00D42EBF" w:rsidRPr="00277DC7" w:rsidRDefault="00D42EBF" w:rsidP="00D42EBF">
      <w:pPr>
        <w:spacing w:line="360" w:lineRule="auto"/>
        <w:ind w:left="709" w:hanging="709"/>
        <w:rPr>
          <w:rFonts w:cs="Times New Roman"/>
          <w:szCs w:val="24"/>
          <w:lang w:val="en-US"/>
        </w:rPr>
      </w:pPr>
      <w:bookmarkStart w:id="59" w:name="_Hlk198218272"/>
      <w:r w:rsidRPr="00277DC7">
        <w:rPr>
          <w:rFonts w:cs="Times New Roman"/>
          <w:szCs w:val="24"/>
          <w:lang w:val="en-US"/>
        </w:rPr>
        <w:t>Sherman</w:t>
      </w:r>
      <w:bookmarkEnd w:id="59"/>
      <w:r w:rsidRPr="00277DC7">
        <w:rPr>
          <w:rFonts w:cs="Times New Roman"/>
          <w:szCs w:val="24"/>
          <w:lang w:val="en-US"/>
        </w:rPr>
        <w:t xml:space="preserve">, L., Cantor, A., Milman, A., &amp; </w:t>
      </w:r>
      <w:proofErr w:type="spellStart"/>
      <w:r w:rsidRPr="00277DC7">
        <w:rPr>
          <w:rFonts w:cs="Times New Roman"/>
          <w:szCs w:val="24"/>
          <w:lang w:val="en-US"/>
        </w:rPr>
        <w:t>Kiparsky</w:t>
      </w:r>
      <w:proofErr w:type="spellEnd"/>
      <w:r w:rsidRPr="00277DC7">
        <w:rPr>
          <w:rFonts w:cs="Times New Roman"/>
          <w:szCs w:val="24"/>
          <w:lang w:val="en-US"/>
        </w:rPr>
        <w:t xml:space="preserve">, M. (2020). Examining the complex relationship between innovation and regulation through a survey of wastewater utility </w:t>
      </w:r>
      <w:r w:rsidR="00277DC7" w:rsidRPr="00277DC7">
        <w:rPr>
          <w:rFonts w:cs="Times New Roman"/>
          <w:szCs w:val="24"/>
          <w:lang w:val="en-US"/>
        </w:rPr>
        <w:t>managers.</w:t>
      </w:r>
      <w:r w:rsidRPr="00277DC7">
        <w:rPr>
          <w:rFonts w:cs="Times New Roman"/>
          <w:szCs w:val="24"/>
          <w:lang w:val="en-US"/>
        </w:rPr>
        <w:t xml:space="preserve"> </w:t>
      </w:r>
      <w:r w:rsidRPr="00277DC7">
        <w:rPr>
          <w:rFonts w:cs="Times New Roman"/>
          <w:i/>
          <w:iCs/>
          <w:szCs w:val="24"/>
          <w:lang w:val="en-US"/>
        </w:rPr>
        <w:t>Journal of environmental management</w:t>
      </w:r>
      <w:r w:rsidRPr="00277DC7">
        <w:rPr>
          <w:rFonts w:cs="Times New Roman"/>
          <w:szCs w:val="24"/>
          <w:lang w:val="en-US"/>
        </w:rPr>
        <w:t xml:space="preserve">, 260, </w:t>
      </w:r>
      <w:r w:rsidR="00277DC7" w:rsidRPr="00277DC7">
        <w:rPr>
          <w:rFonts w:cs="Times New Roman"/>
          <w:szCs w:val="24"/>
          <w:lang w:val="en-US"/>
        </w:rPr>
        <w:t>110025.</w:t>
      </w:r>
      <w:r w:rsidRPr="00277DC7">
        <w:rPr>
          <w:rFonts w:cs="Times New Roman"/>
          <w:szCs w:val="24"/>
          <w:lang w:val="en-US"/>
        </w:rPr>
        <w:t xml:space="preserve"> </w:t>
      </w:r>
      <w:hyperlink r:id="rId74" w:tgtFrame="_blank" w:history="1">
        <w:r w:rsidRPr="00277DC7">
          <w:rPr>
            <w:rStyle w:val="Hipervnculo"/>
            <w:rFonts w:cs="Times New Roman"/>
            <w:szCs w:val="24"/>
            <w:lang w:val="en-US"/>
          </w:rPr>
          <w:t>https://doi.org/10.1016/j.jenvman.2019.110025</w:t>
        </w:r>
      </w:hyperlink>
    </w:p>
    <w:p w14:paraId="138BAC11" w14:textId="1CA60261" w:rsidR="00D42EBF" w:rsidRPr="00277DC7" w:rsidRDefault="00D42EBF" w:rsidP="00D42EBF">
      <w:pPr>
        <w:spacing w:line="360" w:lineRule="auto"/>
        <w:ind w:left="709" w:hanging="709"/>
        <w:rPr>
          <w:rFonts w:cs="Times New Roman"/>
          <w:szCs w:val="24"/>
          <w:lang w:val="en-US"/>
        </w:rPr>
      </w:pPr>
      <w:bookmarkStart w:id="60" w:name="_Hlk198212863"/>
      <w:r w:rsidRPr="00277DC7">
        <w:rPr>
          <w:rFonts w:cs="Times New Roman"/>
          <w:szCs w:val="24"/>
          <w:lang w:val="en-US"/>
        </w:rPr>
        <w:t>Simpson, A., &amp; Dervin, F. (2019)</w:t>
      </w:r>
      <w:bookmarkEnd w:id="60"/>
      <w:r w:rsidRPr="00277DC7">
        <w:rPr>
          <w:rFonts w:cs="Times New Roman"/>
          <w:szCs w:val="24"/>
          <w:lang w:val="en-US"/>
        </w:rPr>
        <w:t>. Global and intercultural competences for w</w:t>
      </w:r>
      <w:r w:rsidR="00CF027C" w:rsidRPr="00277DC7">
        <w:rPr>
          <w:rFonts w:cs="Times New Roman"/>
          <w:szCs w:val="24"/>
          <w:lang w:val="en-US"/>
        </w:rPr>
        <w:t xml:space="preserve">hom? By whom? For what </w:t>
      </w:r>
      <w:proofErr w:type="gramStart"/>
      <w:r w:rsidR="00CF027C" w:rsidRPr="00277DC7">
        <w:rPr>
          <w:rFonts w:cs="Times New Roman"/>
          <w:szCs w:val="24"/>
          <w:lang w:val="en-US"/>
        </w:rPr>
        <w:t>purpose?</w:t>
      </w:r>
      <w:r w:rsidRPr="00277DC7">
        <w:rPr>
          <w:rFonts w:cs="Times New Roman"/>
          <w:szCs w:val="24"/>
          <w:lang w:val="en-US"/>
        </w:rPr>
        <w:t>:</w:t>
      </w:r>
      <w:proofErr w:type="gramEnd"/>
      <w:r w:rsidRPr="00277DC7">
        <w:rPr>
          <w:rFonts w:cs="Times New Roman"/>
          <w:szCs w:val="24"/>
          <w:lang w:val="en-US"/>
        </w:rPr>
        <w:t xml:space="preserve"> an example from the Asia Society and the OECD. </w:t>
      </w:r>
      <w:r w:rsidRPr="00277DC7">
        <w:rPr>
          <w:rFonts w:cs="Times New Roman"/>
          <w:i/>
          <w:iCs/>
          <w:szCs w:val="24"/>
          <w:lang w:val="en-US"/>
        </w:rPr>
        <w:t>Compare: A Journal of Comparative and International Education</w:t>
      </w:r>
      <w:r w:rsidRPr="00277DC7">
        <w:rPr>
          <w:rFonts w:cs="Times New Roman"/>
          <w:szCs w:val="24"/>
          <w:lang w:val="en-US"/>
        </w:rPr>
        <w:t xml:space="preserve">, 49, 672 - 677. </w:t>
      </w:r>
      <w:hyperlink r:id="rId75" w:tgtFrame="_blank" w:history="1">
        <w:r w:rsidRPr="00277DC7">
          <w:rPr>
            <w:rStyle w:val="Hipervnculo"/>
            <w:rFonts w:cs="Times New Roman"/>
            <w:szCs w:val="24"/>
            <w:lang w:val="en-US"/>
          </w:rPr>
          <w:t>https://doi.org/10.1080/03057925.2019.1586194</w:t>
        </w:r>
      </w:hyperlink>
    </w:p>
    <w:p w14:paraId="162B16D8" w14:textId="304F725B" w:rsidR="00CF027C" w:rsidRPr="00277DC7" w:rsidRDefault="00CF027C" w:rsidP="00D42EBF">
      <w:pPr>
        <w:spacing w:line="360" w:lineRule="auto"/>
        <w:ind w:left="709" w:hanging="709"/>
        <w:rPr>
          <w:rFonts w:cs="Times New Roman"/>
          <w:color w:val="222222"/>
          <w:szCs w:val="24"/>
          <w:shd w:val="clear" w:color="auto" w:fill="FFFFFF"/>
          <w:lang w:val="en-US"/>
        </w:rPr>
      </w:pPr>
      <w:bookmarkStart w:id="61" w:name="_Hlk198212594"/>
      <w:r w:rsidRPr="00277DC7">
        <w:rPr>
          <w:rFonts w:cs="Times New Roman"/>
          <w:color w:val="222222"/>
          <w:szCs w:val="24"/>
          <w:shd w:val="clear" w:color="auto" w:fill="FFFFFF"/>
          <w:lang w:val="en-US"/>
        </w:rPr>
        <w:t>Thompson, J. (2021). Mental Models and Interpretability in AI Fairness Tools and Code Environments. In: Stephanidis, C., </w:t>
      </w:r>
      <w:r w:rsidRPr="00277DC7">
        <w:rPr>
          <w:rFonts w:cs="Times New Roman"/>
          <w:i/>
          <w:iCs/>
          <w:color w:val="222222"/>
          <w:szCs w:val="24"/>
          <w:shd w:val="clear" w:color="auto" w:fill="FFFFFF"/>
          <w:lang w:val="en-US"/>
        </w:rPr>
        <w:t>et al.</w:t>
      </w:r>
      <w:r w:rsidRPr="00277DC7">
        <w:rPr>
          <w:rFonts w:cs="Times New Roman"/>
          <w:color w:val="222222"/>
          <w:szCs w:val="24"/>
          <w:shd w:val="clear" w:color="auto" w:fill="FFFFFF"/>
          <w:lang w:val="en-US"/>
        </w:rPr>
        <w:t xml:space="preserve"> HCI International 2021 - Late Breaking Papers: Multimodality, </w:t>
      </w:r>
      <w:proofErr w:type="spellStart"/>
      <w:r w:rsidRPr="00277DC7">
        <w:rPr>
          <w:rFonts w:cs="Times New Roman"/>
          <w:color w:val="222222"/>
          <w:szCs w:val="24"/>
          <w:shd w:val="clear" w:color="auto" w:fill="FFFFFF"/>
          <w:lang w:val="en-US"/>
        </w:rPr>
        <w:t>eXtended</w:t>
      </w:r>
      <w:proofErr w:type="spellEnd"/>
      <w:r w:rsidRPr="00277DC7">
        <w:rPr>
          <w:rFonts w:cs="Times New Roman"/>
          <w:color w:val="222222"/>
          <w:szCs w:val="24"/>
          <w:shd w:val="clear" w:color="auto" w:fill="FFFFFF"/>
          <w:lang w:val="en-US"/>
        </w:rPr>
        <w:t xml:space="preserve"> Reality, and Artificial Intelligence. HCII 2021. Lecture Notes in Computer Science, vol 13095. Springer, Cham. </w:t>
      </w:r>
      <w:hyperlink r:id="rId76" w:history="1">
        <w:r w:rsidRPr="00277DC7">
          <w:rPr>
            <w:rStyle w:val="Hipervnculo"/>
            <w:rFonts w:cs="Times New Roman"/>
            <w:szCs w:val="24"/>
            <w:shd w:val="clear" w:color="auto" w:fill="FFFFFF"/>
            <w:lang w:val="en-US"/>
          </w:rPr>
          <w:t>https://doi.org/10.1007/978-3-030-90963-5_43</w:t>
        </w:r>
      </w:hyperlink>
    </w:p>
    <w:p w14:paraId="7F286D66" w14:textId="20632264" w:rsidR="00D42EBF" w:rsidRPr="00277DC7" w:rsidRDefault="00D42EBF" w:rsidP="00D42EBF">
      <w:pPr>
        <w:spacing w:line="360" w:lineRule="auto"/>
        <w:ind w:left="709" w:hanging="709"/>
        <w:rPr>
          <w:rFonts w:cs="Times New Roman"/>
          <w:szCs w:val="24"/>
          <w:lang w:val="en-US"/>
        </w:rPr>
      </w:pPr>
      <w:r w:rsidRPr="00277DC7">
        <w:rPr>
          <w:rFonts w:cs="Times New Roman"/>
          <w:szCs w:val="24"/>
          <w:lang w:val="en-US"/>
        </w:rPr>
        <w:t>Vaccari, V., &amp; Gardinier, M. (2019)</w:t>
      </w:r>
      <w:bookmarkEnd w:id="61"/>
      <w:r w:rsidRPr="00277DC7">
        <w:rPr>
          <w:rFonts w:cs="Times New Roman"/>
          <w:szCs w:val="24"/>
          <w:lang w:val="en-US"/>
        </w:rPr>
        <w:t xml:space="preserve">. Toward one world or many? A comparative analysis of OECD and UNESCO global education policy documents. </w:t>
      </w:r>
      <w:r w:rsidRPr="00277DC7">
        <w:rPr>
          <w:rFonts w:cs="Times New Roman"/>
          <w:i/>
          <w:iCs/>
          <w:szCs w:val="24"/>
          <w:lang w:val="en-US"/>
        </w:rPr>
        <w:t>International Journal of Development Education and Global Learning</w:t>
      </w:r>
      <w:r w:rsidRPr="00277DC7">
        <w:rPr>
          <w:rFonts w:cs="Times New Roman"/>
          <w:szCs w:val="24"/>
          <w:lang w:val="en-US"/>
        </w:rPr>
        <w:t xml:space="preserve">. </w:t>
      </w:r>
      <w:hyperlink r:id="rId77" w:tgtFrame="_blank" w:history="1">
        <w:r w:rsidRPr="00277DC7">
          <w:rPr>
            <w:rStyle w:val="Hipervnculo"/>
            <w:rFonts w:cs="Times New Roman"/>
            <w:szCs w:val="24"/>
            <w:lang w:val="en-US"/>
          </w:rPr>
          <w:t>https://doi.org/10.18546/IJDEGL.11.1.05</w:t>
        </w:r>
      </w:hyperlink>
    </w:p>
    <w:p w14:paraId="4CF9D5F8" w14:textId="77777777" w:rsidR="00D42EBF" w:rsidRPr="00277DC7" w:rsidRDefault="00D42EBF" w:rsidP="00D42EBF">
      <w:pPr>
        <w:spacing w:line="360" w:lineRule="auto"/>
        <w:ind w:left="709" w:hanging="709"/>
        <w:rPr>
          <w:rFonts w:cs="Times New Roman"/>
          <w:szCs w:val="24"/>
          <w:lang w:val="en-US"/>
        </w:rPr>
      </w:pPr>
      <w:bookmarkStart w:id="62" w:name="_Hlk198215098"/>
      <w:r w:rsidRPr="00277DC7">
        <w:rPr>
          <w:rFonts w:cs="Times New Roman"/>
          <w:szCs w:val="24"/>
          <w:lang w:val="en-US"/>
        </w:rPr>
        <w:lastRenderedPageBreak/>
        <w:t>Wexler</w:t>
      </w:r>
      <w:bookmarkEnd w:id="62"/>
      <w:r w:rsidRPr="00277DC7">
        <w:rPr>
          <w:rFonts w:cs="Times New Roman"/>
          <w:szCs w:val="24"/>
          <w:lang w:val="en-US"/>
        </w:rPr>
        <w:t xml:space="preserve">, J., </w:t>
      </w:r>
      <w:proofErr w:type="spellStart"/>
      <w:r w:rsidRPr="00277DC7">
        <w:rPr>
          <w:rFonts w:cs="Times New Roman"/>
          <w:szCs w:val="24"/>
          <w:lang w:val="en-US"/>
        </w:rPr>
        <w:t>Pushkarna</w:t>
      </w:r>
      <w:proofErr w:type="spellEnd"/>
      <w:r w:rsidRPr="00277DC7">
        <w:rPr>
          <w:rFonts w:cs="Times New Roman"/>
          <w:szCs w:val="24"/>
          <w:lang w:val="en-US"/>
        </w:rPr>
        <w:t xml:space="preserve">, M., </w:t>
      </w:r>
      <w:proofErr w:type="spellStart"/>
      <w:r w:rsidRPr="00277DC7">
        <w:rPr>
          <w:rFonts w:cs="Times New Roman"/>
          <w:szCs w:val="24"/>
          <w:lang w:val="en-US"/>
        </w:rPr>
        <w:t>Bolukbasi</w:t>
      </w:r>
      <w:proofErr w:type="spellEnd"/>
      <w:r w:rsidRPr="00277DC7">
        <w:rPr>
          <w:rFonts w:cs="Times New Roman"/>
          <w:szCs w:val="24"/>
          <w:lang w:val="en-US"/>
        </w:rPr>
        <w:t xml:space="preserve">, T., Wattenberg, M., </w:t>
      </w:r>
      <w:proofErr w:type="spellStart"/>
      <w:r w:rsidRPr="00277DC7">
        <w:rPr>
          <w:rFonts w:cs="Times New Roman"/>
          <w:szCs w:val="24"/>
          <w:lang w:val="en-US"/>
        </w:rPr>
        <w:t>Viégas</w:t>
      </w:r>
      <w:proofErr w:type="spellEnd"/>
      <w:r w:rsidRPr="00277DC7">
        <w:rPr>
          <w:rFonts w:cs="Times New Roman"/>
          <w:szCs w:val="24"/>
          <w:lang w:val="en-US"/>
        </w:rPr>
        <w:t xml:space="preserve">, F., &amp; Wilson, J. (2019). The What-If Tool: Interactive Probing of Machine Learning Models. </w:t>
      </w:r>
      <w:r w:rsidRPr="00277DC7">
        <w:rPr>
          <w:rFonts w:cs="Times New Roman"/>
          <w:i/>
          <w:iCs/>
          <w:szCs w:val="24"/>
          <w:lang w:val="en-US"/>
        </w:rPr>
        <w:t>IEEE Transactions on Visualization and Computer Graphics</w:t>
      </w:r>
      <w:r w:rsidRPr="00277DC7">
        <w:rPr>
          <w:rFonts w:cs="Times New Roman"/>
          <w:szCs w:val="24"/>
          <w:lang w:val="en-US"/>
        </w:rPr>
        <w:t xml:space="preserve">, 26, 56-65. </w:t>
      </w:r>
      <w:hyperlink r:id="rId78" w:tgtFrame="_blank" w:history="1">
        <w:r w:rsidRPr="00277DC7">
          <w:rPr>
            <w:rStyle w:val="Hipervnculo"/>
            <w:rFonts w:cs="Times New Roman"/>
            <w:szCs w:val="24"/>
            <w:lang w:val="en-US"/>
          </w:rPr>
          <w:t>https://doi.org/10.1109/TVCG.2019.2934619</w:t>
        </w:r>
      </w:hyperlink>
    </w:p>
    <w:p w14:paraId="279264EF" w14:textId="77777777" w:rsidR="00D42EBF" w:rsidRPr="00277DC7" w:rsidRDefault="00D42EBF" w:rsidP="00D42EBF">
      <w:pPr>
        <w:spacing w:line="360" w:lineRule="auto"/>
        <w:ind w:left="709" w:hanging="709"/>
        <w:rPr>
          <w:rFonts w:cs="Times New Roman"/>
          <w:szCs w:val="24"/>
          <w:lang w:val="en-US"/>
        </w:rPr>
      </w:pPr>
      <w:bookmarkStart w:id="63" w:name="_Hlk198217737"/>
      <w:r w:rsidRPr="00277DC7">
        <w:rPr>
          <w:rFonts w:cs="Times New Roman"/>
          <w:szCs w:val="24"/>
          <w:lang w:val="en-US"/>
        </w:rPr>
        <w:t xml:space="preserve">Yam, J., &amp; </w:t>
      </w:r>
      <w:proofErr w:type="spellStart"/>
      <w:r w:rsidRPr="00277DC7">
        <w:rPr>
          <w:rFonts w:cs="Times New Roman"/>
          <w:szCs w:val="24"/>
          <w:lang w:val="en-US"/>
        </w:rPr>
        <w:t>Skorburg</w:t>
      </w:r>
      <w:proofErr w:type="spellEnd"/>
      <w:r w:rsidRPr="00277DC7">
        <w:rPr>
          <w:rFonts w:cs="Times New Roman"/>
          <w:szCs w:val="24"/>
          <w:lang w:val="en-US"/>
        </w:rPr>
        <w:t>, J. (2021)</w:t>
      </w:r>
      <w:bookmarkEnd w:id="63"/>
      <w:r w:rsidRPr="00277DC7">
        <w:rPr>
          <w:rFonts w:cs="Times New Roman"/>
          <w:szCs w:val="24"/>
          <w:lang w:val="en-US"/>
        </w:rPr>
        <w:t xml:space="preserve">. From human resources to human rights: Impact assessments for hiring algorithms. </w:t>
      </w:r>
      <w:r w:rsidRPr="00277DC7">
        <w:rPr>
          <w:rFonts w:cs="Times New Roman"/>
          <w:i/>
          <w:iCs/>
          <w:szCs w:val="24"/>
          <w:lang w:val="en-US"/>
        </w:rPr>
        <w:t>Ethics and Information Technology</w:t>
      </w:r>
      <w:r w:rsidRPr="00277DC7">
        <w:rPr>
          <w:rFonts w:cs="Times New Roman"/>
          <w:szCs w:val="24"/>
          <w:lang w:val="en-US"/>
        </w:rPr>
        <w:t xml:space="preserve">, 23, 611 - 623. </w:t>
      </w:r>
      <w:hyperlink r:id="rId79" w:tgtFrame="_blank" w:history="1">
        <w:r w:rsidRPr="00277DC7">
          <w:rPr>
            <w:rStyle w:val="Hipervnculo"/>
            <w:rFonts w:cs="Times New Roman"/>
            <w:szCs w:val="24"/>
            <w:lang w:val="en-US"/>
          </w:rPr>
          <w:t>https://doi.org/10.1007/s10676-021-09599-7</w:t>
        </w:r>
      </w:hyperlink>
    </w:p>
    <w:p w14:paraId="3636F67F" w14:textId="77777777" w:rsidR="00D42EBF" w:rsidRPr="00277DC7" w:rsidRDefault="00D42EBF" w:rsidP="00D42EBF">
      <w:pPr>
        <w:spacing w:line="360" w:lineRule="auto"/>
        <w:ind w:left="709" w:hanging="709"/>
        <w:rPr>
          <w:rFonts w:cs="Times New Roman"/>
          <w:szCs w:val="24"/>
          <w:lang w:val="en-US"/>
        </w:rPr>
      </w:pPr>
      <w:bookmarkStart w:id="64" w:name="_Hlk198218532"/>
      <w:r w:rsidRPr="00277DC7">
        <w:rPr>
          <w:rFonts w:cs="Times New Roman"/>
          <w:szCs w:val="24"/>
          <w:lang w:val="en-US"/>
        </w:rPr>
        <w:t>Yarborough,</w:t>
      </w:r>
      <w:bookmarkEnd w:id="64"/>
      <w:r w:rsidRPr="00277DC7">
        <w:rPr>
          <w:rFonts w:cs="Times New Roman"/>
          <w:szCs w:val="24"/>
          <w:lang w:val="en-US"/>
        </w:rPr>
        <w:t xml:space="preserve"> M. (2021). Moving towards less biased research. </w:t>
      </w:r>
      <w:r w:rsidRPr="00277DC7">
        <w:rPr>
          <w:rFonts w:cs="Times New Roman"/>
          <w:i/>
          <w:iCs/>
          <w:szCs w:val="24"/>
          <w:lang w:val="en-US"/>
        </w:rPr>
        <w:t>BMJ Open Science</w:t>
      </w:r>
      <w:r w:rsidRPr="00277DC7">
        <w:rPr>
          <w:rFonts w:cs="Times New Roman"/>
          <w:szCs w:val="24"/>
          <w:lang w:val="en-US"/>
        </w:rPr>
        <w:t xml:space="preserve">, 5. </w:t>
      </w:r>
      <w:hyperlink r:id="rId80" w:tgtFrame="_blank" w:history="1">
        <w:r w:rsidRPr="00277DC7">
          <w:rPr>
            <w:rStyle w:val="Hipervnculo"/>
            <w:rFonts w:cs="Times New Roman"/>
            <w:szCs w:val="24"/>
            <w:lang w:val="en-US"/>
          </w:rPr>
          <w:t>https://doi.org/10.1136/bmjos-2020-100116</w:t>
        </w:r>
      </w:hyperlink>
    </w:p>
    <w:p w14:paraId="759B3F86" w14:textId="77777777" w:rsidR="00D42EBF" w:rsidRPr="00277DC7" w:rsidRDefault="00D42EBF" w:rsidP="00D42EBF">
      <w:pPr>
        <w:spacing w:line="360" w:lineRule="auto"/>
        <w:ind w:left="709" w:hanging="709"/>
        <w:rPr>
          <w:rFonts w:cs="Times New Roman"/>
          <w:szCs w:val="24"/>
          <w:lang w:val="en-US"/>
        </w:rPr>
      </w:pPr>
      <w:bookmarkStart w:id="65" w:name="_Hlk198216019"/>
      <w:r w:rsidRPr="00720F6F">
        <w:rPr>
          <w:rFonts w:cs="Times New Roman"/>
          <w:szCs w:val="24"/>
          <w:lang w:val="es-CO"/>
        </w:rPr>
        <w:t>Zahid</w:t>
      </w:r>
      <w:bookmarkEnd w:id="65"/>
      <w:r w:rsidRPr="00720F6F">
        <w:rPr>
          <w:rFonts w:cs="Times New Roman"/>
          <w:szCs w:val="24"/>
          <w:lang w:val="es-CO"/>
        </w:rPr>
        <w:t xml:space="preserve">, A., Khan, M., Khan, A., </w:t>
      </w:r>
      <w:proofErr w:type="spellStart"/>
      <w:r w:rsidRPr="00720F6F">
        <w:rPr>
          <w:rFonts w:cs="Times New Roman"/>
          <w:szCs w:val="24"/>
          <w:lang w:val="es-CO"/>
        </w:rPr>
        <w:t>Kamiran</w:t>
      </w:r>
      <w:proofErr w:type="spellEnd"/>
      <w:r w:rsidRPr="00720F6F">
        <w:rPr>
          <w:rFonts w:cs="Times New Roman"/>
          <w:szCs w:val="24"/>
          <w:lang w:val="es-CO"/>
        </w:rPr>
        <w:t xml:space="preserve">, F., &amp; </w:t>
      </w:r>
      <w:proofErr w:type="spellStart"/>
      <w:r w:rsidRPr="00720F6F">
        <w:rPr>
          <w:rFonts w:cs="Times New Roman"/>
          <w:szCs w:val="24"/>
          <w:lang w:val="es-CO"/>
        </w:rPr>
        <w:t>Nasir</w:t>
      </w:r>
      <w:proofErr w:type="spellEnd"/>
      <w:r w:rsidRPr="00720F6F">
        <w:rPr>
          <w:rFonts w:cs="Times New Roman"/>
          <w:szCs w:val="24"/>
          <w:lang w:val="es-CO"/>
        </w:rPr>
        <w:t xml:space="preserve">, B. (2020). </w:t>
      </w:r>
      <w:r w:rsidRPr="00277DC7">
        <w:rPr>
          <w:rFonts w:cs="Times New Roman"/>
          <w:szCs w:val="24"/>
          <w:lang w:val="en-US"/>
        </w:rPr>
        <w:t xml:space="preserve">Modeling, Quantifying and Visualizing Media Bias on Twitter. </w:t>
      </w:r>
      <w:r w:rsidRPr="00277DC7">
        <w:rPr>
          <w:rFonts w:cs="Times New Roman"/>
          <w:i/>
          <w:iCs/>
          <w:szCs w:val="24"/>
          <w:lang w:val="en-US"/>
        </w:rPr>
        <w:t>IEEE Access</w:t>
      </w:r>
      <w:r w:rsidRPr="00277DC7">
        <w:rPr>
          <w:rFonts w:cs="Times New Roman"/>
          <w:szCs w:val="24"/>
          <w:lang w:val="en-US"/>
        </w:rPr>
        <w:t xml:space="preserve">, 8, 81812-81821. </w:t>
      </w:r>
      <w:hyperlink r:id="rId81" w:tgtFrame="_blank" w:history="1">
        <w:r w:rsidRPr="00277DC7">
          <w:rPr>
            <w:rStyle w:val="Hipervnculo"/>
            <w:rFonts w:cs="Times New Roman"/>
            <w:szCs w:val="24"/>
            <w:lang w:val="en-US"/>
          </w:rPr>
          <w:t>https://doi.org/10.1109/ACCESS.2020.2990800</w:t>
        </w:r>
      </w:hyperlink>
    </w:p>
    <w:p w14:paraId="5FE0EC44" w14:textId="77777777" w:rsidR="00D42EBF" w:rsidRPr="00277DC7" w:rsidRDefault="00D42EBF" w:rsidP="00D42EBF">
      <w:pPr>
        <w:spacing w:line="360" w:lineRule="auto"/>
        <w:ind w:left="709" w:hanging="709"/>
        <w:rPr>
          <w:rFonts w:cs="Times New Roman"/>
          <w:szCs w:val="24"/>
          <w:lang w:val="en-US"/>
        </w:rPr>
      </w:pPr>
      <w:bookmarkStart w:id="66" w:name="_Hlk198212787"/>
      <w:r w:rsidRPr="00277DC7">
        <w:rPr>
          <w:rFonts w:cs="Times New Roman"/>
          <w:szCs w:val="24"/>
          <w:lang w:val="en-US"/>
        </w:rPr>
        <w:t xml:space="preserve">Zapp, </w:t>
      </w:r>
      <w:bookmarkEnd w:id="66"/>
      <w:r w:rsidRPr="00277DC7">
        <w:rPr>
          <w:rFonts w:cs="Times New Roman"/>
          <w:szCs w:val="24"/>
          <w:lang w:val="en-US"/>
        </w:rPr>
        <w:t xml:space="preserve">M. (2020). The authority of science and the legitimacy of international </w:t>
      </w:r>
      <w:proofErr w:type="spellStart"/>
      <w:r w:rsidRPr="00277DC7">
        <w:rPr>
          <w:rFonts w:cs="Times New Roman"/>
          <w:szCs w:val="24"/>
          <w:lang w:val="en-US"/>
        </w:rPr>
        <w:t>organisations</w:t>
      </w:r>
      <w:proofErr w:type="spellEnd"/>
      <w:r w:rsidRPr="00277DC7">
        <w:rPr>
          <w:rFonts w:cs="Times New Roman"/>
          <w:szCs w:val="24"/>
          <w:lang w:val="en-US"/>
        </w:rPr>
        <w:t xml:space="preserve">: OECD, UNESCO and World Bank in global education governance. </w:t>
      </w:r>
      <w:r w:rsidRPr="00277DC7">
        <w:rPr>
          <w:rFonts w:cs="Times New Roman"/>
          <w:i/>
          <w:iCs/>
          <w:szCs w:val="24"/>
          <w:lang w:val="en-US"/>
        </w:rPr>
        <w:t>Compare: A Journal of Comparative and International Education</w:t>
      </w:r>
      <w:r w:rsidRPr="00277DC7">
        <w:rPr>
          <w:rFonts w:cs="Times New Roman"/>
          <w:szCs w:val="24"/>
          <w:lang w:val="en-US"/>
        </w:rPr>
        <w:t xml:space="preserve">, 51, 1022 - 1041. </w:t>
      </w:r>
      <w:hyperlink r:id="rId82" w:tgtFrame="_blank" w:history="1">
        <w:r w:rsidRPr="00277DC7">
          <w:rPr>
            <w:rStyle w:val="Hipervnculo"/>
            <w:rFonts w:cs="Times New Roman"/>
            <w:szCs w:val="24"/>
            <w:lang w:val="en-US"/>
          </w:rPr>
          <w:t>https://doi.org/10.1080/03057925.2019.1702503</w:t>
        </w:r>
      </w:hyperlink>
    </w:p>
    <w:p w14:paraId="7450B7AA" w14:textId="77777777" w:rsidR="00D42EBF" w:rsidRPr="00277DC7" w:rsidRDefault="00D42EBF" w:rsidP="00E776F7">
      <w:pPr>
        <w:spacing w:line="360" w:lineRule="auto"/>
        <w:rPr>
          <w:lang w:val="en-US"/>
        </w:rPr>
      </w:pPr>
    </w:p>
    <w:sectPr w:rsidR="00D42EBF" w:rsidRPr="00277DC7" w:rsidSect="00942F10">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D6F8A"/>
    <w:multiLevelType w:val="multilevel"/>
    <w:tmpl w:val="B02C35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916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98"/>
    <w:rsid w:val="00001282"/>
    <w:rsid w:val="000103B7"/>
    <w:rsid w:val="000158C2"/>
    <w:rsid w:val="000543A9"/>
    <w:rsid w:val="000611F2"/>
    <w:rsid w:val="000A2FDB"/>
    <w:rsid w:val="000A523E"/>
    <w:rsid w:val="000C3A75"/>
    <w:rsid w:val="000C55F0"/>
    <w:rsid w:val="000E27F6"/>
    <w:rsid w:val="001104FB"/>
    <w:rsid w:val="00111D84"/>
    <w:rsid w:val="0012751E"/>
    <w:rsid w:val="00252883"/>
    <w:rsid w:val="00253F14"/>
    <w:rsid w:val="00277DC7"/>
    <w:rsid w:val="0028377A"/>
    <w:rsid w:val="00297EA9"/>
    <w:rsid w:val="002D1BFD"/>
    <w:rsid w:val="002D3C4C"/>
    <w:rsid w:val="002E5E43"/>
    <w:rsid w:val="003764EB"/>
    <w:rsid w:val="003871DC"/>
    <w:rsid w:val="003879FB"/>
    <w:rsid w:val="003E3897"/>
    <w:rsid w:val="003E6524"/>
    <w:rsid w:val="003E7281"/>
    <w:rsid w:val="00417894"/>
    <w:rsid w:val="0043067F"/>
    <w:rsid w:val="004B713E"/>
    <w:rsid w:val="004C183B"/>
    <w:rsid w:val="004C2D77"/>
    <w:rsid w:val="004D0953"/>
    <w:rsid w:val="00516AF4"/>
    <w:rsid w:val="00541F0B"/>
    <w:rsid w:val="00593FFD"/>
    <w:rsid w:val="005B7685"/>
    <w:rsid w:val="00602761"/>
    <w:rsid w:val="00626398"/>
    <w:rsid w:val="006528DB"/>
    <w:rsid w:val="00720F6F"/>
    <w:rsid w:val="00731B3D"/>
    <w:rsid w:val="00766FC8"/>
    <w:rsid w:val="007B01E0"/>
    <w:rsid w:val="007C5A11"/>
    <w:rsid w:val="00811804"/>
    <w:rsid w:val="00844A00"/>
    <w:rsid w:val="00851006"/>
    <w:rsid w:val="008A4553"/>
    <w:rsid w:val="00942F10"/>
    <w:rsid w:val="00963DCC"/>
    <w:rsid w:val="00967FCB"/>
    <w:rsid w:val="009B1EE4"/>
    <w:rsid w:val="00A56C48"/>
    <w:rsid w:val="00A75084"/>
    <w:rsid w:val="00AF3E76"/>
    <w:rsid w:val="00B20CFE"/>
    <w:rsid w:val="00B27E42"/>
    <w:rsid w:val="00B3264F"/>
    <w:rsid w:val="00B34643"/>
    <w:rsid w:val="00B6269A"/>
    <w:rsid w:val="00B678F4"/>
    <w:rsid w:val="00B86087"/>
    <w:rsid w:val="00BB396C"/>
    <w:rsid w:val="00BB3E5A"/>
    <w:rsid w:val="00BE578E"/>
    <w:rsid w:val="00BF574E"/>
    <w:rsid w:val="00C11591"/>
    <w:rsid w:val="00C40389"/>
    <w:rsid w:val="00CF027C"/>
    <w:rsid w:val="00D36D7D"/>
    <w:rsid w:val="00D42EBF"/>
    <w:rsid w:val="00DC5851"/>
    <w:rsid w:val="00E22C87"/>
    <w:rsid w:val="00E776F7"/>
    <w:rsid w:val="00F71659"/>
    <w:rsid w:val="00F7353F"/>
    <w:rsid w:val="00F8515D"/>
    <w:rsid w:val="00FD5F52"/>
    <w:rsid w:val="00FD7472"/>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D8887"/>
  <w15:chartTrackingRefBased/>
  <w15:docId w15:val="{04F36C4D-2482-421C-A2CA-BCFF9688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
    <w:qFormat/>
    <w:rsid w:val="00626398"/>
    <w:pPr>
      <w:spacing w:after="0" w:line="480" w:lineRule="auto"/>
      <w:ind w:firstLine="709"/>
    </w:pPr>
    <w:rPr>
      <w:rFonts w:ascii="Times New Roman" w:hAnsi="Times New Roman"/>
      <w:sz w:val="24"/>
      <w:lang w:val="es-ES"/>
    </w:rPr>
  </w:style>
  <w:style w:type="paragraph" w:styleId="Ttulo1">
    <w:name w:val="heading 1"/>
    <w:aliases w:val="Nivel 2"/>
    <w:basedOn w:val="Normal"/>
    <w:next w:val="Normal"/>
    <w:link w:val="Ttulo1Car"/>
    <w:uiPriority w:val="9"/>
    <w:qFormat/>
    <w:rsid w:val="000158C2"/>
    <w:pPr>
      <w:keepNext/>
      <w:keepLines/>
      <w:outlineLvl w:val="0"/>
    </w:pPr>
    <w:rPr>
      <w:rFonts w:eastAsiaTheme="majorEastAsia" w:cstheme="majorBidi"/>
      <w:b/>
      <w:szCs w:val="32"/>
    </w:rPr>
  </w:style>
  <w:style w:type="paragraph" w:styleId="Ttulo2">
    <w:name w:val="heading 2"/>
    <w:aliases w:val="Nivel 3"/>
    <w:basedOn w:val="Normal"/>
    <w:next w:val="Normal"/>
    <w:link w:val="Ttulo2Car"/>
    <w:uiPriority w:val="9"/>
    <w:semiHidden/>
    <w:unhideWhenUsed/>
    <w:qFormat/>
    <w:rsid w:val="007C5A11"/>
    <w:pPr>
      <w:keepNext/>
      <w:keepLines/>
      <w:outlineLvl w:val="1"/>
    </w:pPr>
    <w:rPr>
      <w:rFonts w:eastAsiaTheme="majorEastAsia" w:cstheme="majorBidi"/>
      <w:b/>
      <w:i/>
      <w:szCs w:val="26"/>
    </w:rPr>
  </w:style>
  <w:style w:type="paragraph" w:styleId="Ttulo3">
    <w:name w:val="heading 3"/>
    <w:basedOn w:val="Normal"/>
    <w:next w:val="Normal"/>
    <w:link w:val="Ttulo3Car"/>
    <w:uiPriority w:val="9"/>
    <w:semiHidden/>
    <w:unhideWhenUsed/>
    <w:qFormat/>
    <w:rsid w:val="0062639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2639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626398"/>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62639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2639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2639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26398"/>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Nivel 1"/>
    <w:basedOn w:val="Ttulo1"/>
    <w:next w:val="Ttulo1"/>
    <w:uiPriority w:val="1"/>
    <w:qFormat/>
    <w:rsid w:val="007C5A11"/>
    <w:pPr>
      <w:jc w:val="center"/>
    </w:pPr>
  </w:style>
  <w:style w:type="character" w:customStyle="1" w:styleId="Ttulo1Car">
    <w:name w:val="Título 1 Car"/>
    <w:aliases w:val="Nivel 2 Car"/>
    <w:basedOn w:val="Fuentedeprrafopredeter"/>
    <w:link w:val="Ttulo1"/>
    <w:uiPriority w:val="9"/>
    <w:rsid w:val="000158C2"/>
    <w:rPr>
      <w:rFonts w:ascii="Times New Roman" w:eastAsiaTheme="majorEastAsia" w:hAnsi="Times New Roman" w:cstheme="majorBidi"/>
      <w:b/>
      <w:sz w:val="24"/>
      <w:szCs w:val="32"/>
    </w:rPr>
  </w:style>
  <w:style w:type="table" w:customStyle="1" w:styleId="APATabla">
    <w:name w:val="APA Tabla"/>
    <w:basedOn w:val="Tablanormal"/>
    <w:uiPriority w:val="99"/>
    <w:rsid w:val="000158C2"/>
    <w:pPr>
      <w:spacing w:after="0" w:line="240" w:lineRule="auto"/>
    </w:pPr>
    <w:rPr>
      <w:rFonts w:ascii="Times New Roman" w:hAnsi="Times New Roman"/>
      <w:sz w:val="24"/>
    </w:rPr>
    <w:tblPr>
      <w:tblBorders>
        <w:top w:val="single" w:sz="4" w:space="0" w:color="auto"/>
        <w:bottom w:val="single" w:sz="4" w:space="0" w:color="auto"/>
      </w:tblBorders>
    </w:tblPr>
  </w:style>
  <w:style w:type="table" w:styleId="Tablaconcuadrcula">
    <w:name w:val="Table Grid"/>
    <w:basedOn w:val="Tablanormal"/>
    <w:uiPriority w:val="39"/>
    <w:rsid w:val="000158C2"/>
    <w:pPr>
      <w:spacing w:after="0" w:line="240" w:lineRule="auto"/>
    </w:pPr>
    <w:rPr>
      <w:rFonts w:ascii="Times New Roman" w:eastAsia="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Nivel 3 Car"/>
    <w:basedOn w:val="Fuentedeprrafopredeter"/>
    <w:link w:val="Ttulo2"/>
    <w:uiPriority w:val="9"/>
    <w:semiHidden/>
    <w:rsid w:val="007C5A11"/>
    <w:rPr>
      <w:rFonts w:ascii="Times New Roman" w:eastAsiaTheme="majorEastAsia" w:hAnsi="Times New Roman" w:cstheme="majorBidi"/>
      <w:b/>
      <w:i/>
      <w:sz w:val="24"/>
      <w:szCs w:val="26"/>
      <w:lang w:val="es-ES"/>
    </w:rPr>
  </w:style>
  <w:style w:type="paragraph" w:styleId="Ttulo">
    <w:name w:val="Title"/>
    <w:aliases w:val="Nivel 4"/>
    <w:basedOn w:val="Normal"/>
    <w:next w:val="Normal"/>
    <w:link w:val="TtuloCar"/>
    <w:uiPriority w:val="10"/>
    <w:qFormat/>
    <w:rsid w:val="007C5A11"/>
    <w:pPr>
      <w:ind w:firstLine="0"/>
      <w:contextualSpacing/>
    </w:pPr>
    <w:rPr>
      <w:rFonts w:eastAsiaTheme="majorEastAsia" w:cstheme="majorBidi"/>
      <w:b/>
      <w:spacing w:val="-10"/>
      <w:kern w:val="28"/>
      <w:szCs w:val="56"/>
    </w:rPr>
  </w:style>
  <w:style w:type="character" w:customStyle="1" w:styleId="TtuloCar">
    <w:name w:val="Título Car"/>
    <w:aliases w:val="Nivel 4 Car"/>
    <w:basedOn w:val="Fuentedeprrafopredeter"/>
    <w:link w:val="Ttulo"/>
    <w:uiPriority w:val="10"/>
    <w:rsid w:val="007C5A11"/>
    <w:rPr>
      <w:rFonts w:ascii="Times New Roman" w:eastAsiaTheme="majorEastAsia" w:hAnsi="Times New Roman" w:cstheme="majorBidi"/>
      <w:b/>
      <w:spacing w:val="-10"/>
      <w:kern w:val="28"/>
      <w:sz w:val="24"/>
      <w:szCs w:val="56"/>
      <w:lang w:val="es-ES"/>
    </w:rPr>
  </w:style>
  <w:style w:type="paragraph" w:styleId="Subttulo">
    <w:name w:val="Subtitle"/>
    <w:aliases w:val="Nivel 5"/>
    <w:basedOn w:val="Normal"/>
    <w:next w:val="Normal"/>
    <w:link w:val="SubttuloCar"/>
    <w:uiPriority w:val="11"/>
    <w:qFormat/>
    <w:rsid w:val="007C5A11"/>
    <w:pPr>
      <w:numPr>
        <w:ilvl w:val="1"/>
      </w:numPr>
      <w:ind w:firstLine="709"/>
    </w:pPr>
    <w:rPr>
      <w:rFonts w:eastAsiaTheme="minorEastAsia"/>
      <w:b/>
      <w:i/>
      <w:spacing w:val="15"/>
    </w:rPr>
  </w:style>
  <w:style w:type="character" w:customStyle="1" w:styleId="SubttuloCar">
    <w:name w:val="Subtítulo Car"/>
    <w:aliases w:val="Nivel 5 Car"/>
    <w:basedOn w:val="Fuentedeprrafopredeter"/>
    <w:link w:val="Subttulo"/>
    <w:uiPriority w:val="11"/>
    <w:rsid w:val="007C5A11"/>
    <w:rPr>
      <w:rFonts w:ascii="Times New Roman" w:eastAsiaTheme="minorEastAsia" w:hAnsi="Times New Roman"/>
      <w:b/>
      <w:i/>
      <w:spacing w:val="15"/>
      <w:sz w:val="24"/>
      <w:lang w:val="es-ES"/>
    </w:rPr>
  </w:style>
  <w:style w:type="character" w:customStyle="1" w:styleId="Ttulo3Car">
    <w:name w:val="Título 3 Car"/>
    <w:basedOn w:val="Fuentedeprrafopredeter"/>
    <w:link w:val="Ttulo3"/>
    <w:uiPriority w:val="9"/>
    <w:semiHidden/>
    <w:rsid w:val="00626398"/>
    <w:rPr>
      <w:rFonts w:eastAsiaTheme="majorEastAsia" w:cstheme="majorBidi"/>
      <w:color w:val="2F5496" w:themeColor="accent1" w:themeShade="BF"/>
      <w:sz w:val="28"/>
      <w:szCs w:val="28"/>
      <w:lang w:val="es-ES"/>
    </w:rPr>
  </w:style>
  <w:style w:type="character" w:customStyle="1" w:styleId="Ttulo4Car">
    <w:name w:val="Título 4 Car"/>
    <w:basedOn w:val="Fuentedeprrafopredeter"/>
    <w:link w:val="Ttulo4"/>
    <w:uiPriority w:val="9"/>
    <w:semiHidden/>
    <w:rsid w:val="00626398"/>
    <w:rPr>
      <w:rFonts w:eastAsiaTheme="majorEastAsia" w:cstheme="majorBidi"/>
      <w:i/>
      <w:iCs/>
      <w:color w:val="2F5496" w:themeColor="accent1" w:themeShade="BF"/>
      <w:sz w:val="24"/>
      <w:lang w:val="es-ES"/>
    </w:rPr>
  </w:style>
  <w:style w:type="character" w:customStyle="1" w:styleId="Ttulo5Car">
    <w:name w:val="Título 5 Car"/>
    <w:basedOn w:val="Fuentedeprrafopredeter"/>
    <w:link w:val="Ttulo5"/>
    <w:uiPriority w:val="9"/>
    <w:semiHidden/>
    <w:rsid w:val="00626398"/>
    <w:rPr>
      <w:rFonts w:eastAsiaTheme="majorEastAsia" w:cstheme="majorBidi"/>
      <w:color w:val="2F5496" w:themeColor="accent1" w:themeShade="BF"/>
      <w:sz w:val="24"/>
      <w:lang w:val="es-ES"/>
    </w:rPr>
  </w:style>
  <w:style w:type="character" w:customStyle="1" w:styleId="Ttulo6Car">
    <w:name w:val="Título 6 Car"/>
    <w:basedOn w:val="Fuentedeprrafopredeter"/>
    <w:link w:val="Ttulo6"/>
    <w:uiPriority w:val="9"/>
    <w:semiHidden/>
    <w:rsid w:val="00626398"/>
    <w:rPr>
      <w:rFonts w:eastAsiaTheme="majorEastAsia" w:cstheme="majorBidi"/>
      <w:i/>
      <w:iCs/>
      <w:color w:val="595959" w:themeColor="text1" w:themeTint="A6"/>
      <w:sz w:val="24"/>
      <w:lang w:val="es-ES"/>
    </w:rPr>
  </w:style>
  <w:style w:type="character" w:customStyle="1" w:styleId="Ttulo7Car">
    <w:name w:val="Título 7 Car"/>
    <w:basedOn w:val="Fuentedeprrafopredeter"/>
    <w:link w:val="Ttulo7"/>
    <w:uiPriority w:val="9"/>
    <w:semiHidden/>
    <w:rsid w:val="00626398"/>
    <w:rPr>
      <w:rFonts w:eastAsiaTheme="majorEastAsia" w:cstheme="majorBidi"/>
      <w:color w:val="595959" w:themeColor="text1" w:themeTint="A6"/>
      <w:sz w:val="24"/>
      <w:lang w:val="es-ES"/>
    </w:rPr>
  </w:style>
  <w:style w:type="character" w:customStyle="1" w:styleId="Ttulo8Car">
    <w:name w:val="Título 8 Car"/>
    <w:basedOn w:val="Fuentedeprrafopredeter"/>
    <w:link w:val="Ttulo8"/>
    <w:uiPriority w:val="9"/>
    <w:semiHidden/>
    <w:rsid w:val="00626398"/>
    <w:rPr>
      <w:rFonts w:eastAsiaTheme="majorEastAsia" w:cstheme="majorBidi"/>
      <w:i/>
      <w:iCs/>
      <w:color w:val="272727" w:themeColor="text1" w:themeTint="D8"/>
      <w:sz w:val="24"/>
      <w:lang w:val="es-ES"/>
    </w:rPr>
  </w:style>
  <w:style w:type="character" w:customStyle="1" w:styleId="Ttulo9Car">
    <w:name w:val="Título 9 Car"/>
    <w:basedOn w:val="Fuentedeprrafopredeter"/>
    <w:link w:val="Ttulo9"/>
    <w:uiPriority w:val="9"/>
    <w:semiHidden/>
    <w:rsid w:val="00626398"/>
    <w:rPr>
      <w:rFonts w:eastAsiaTheme="majorEastAsia" w:cstheme="majorBidi"/>
      <w:color w:val="272727" w:themeColor="text1" w:themeTint="D8"/>
      <w:sz w:val="24"/>
      <w:lang w:val="es-ES"/>
    </w:rPr>
  </w:style>
  <w:style w:type="paragraph" w:styleId="Cita">
    <w:name w:val="Quote"/>
    <w:basedOn w:val="Normal"/>
    <w:next w:val="Normal"/>
    <w:link w:val="CitaCar"/>
    <w:uiPriority w:val="29"/>
    <w:qFormat/>
    <w:rsid w:val="0062639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26398"/>
    <w:rPr>
      <w:rFonts w:ascii="Times New Roman" w:hAnsi="Times New Roman"/>
      <w:i/>
      <w:iCs/>
      <w:color w:val="404040" w:themeColor="text1" w:themeTint="BF"/>
      <w:sz w:val="24"/>
      <w:lang w:val="es-ES"/>
    </w:rPr>
  </w:style>
  <w:style w:type="paragraph" w:styleId="Prrafodelista">
    <w:name w:val="List Paragraph"/>
    <w:basedOn w:val="Normal"/>
    <w:uiPriority w:val="34"/>
    <w:qFormat/>
    <w:rsid w:val="00626398"/>
    <w:pPr>
      <w:ind w:left="720"/>
      <w:contextualSpacing/>
    </w:pPr>
  </w:style>
  <w:style w:type="character" w:styleId="nfasisintenso">
    <w:name w:val="Intense Emphasis"/>
    <w:basedOn w:val="Fuentedeprrafopredeter"/>
    <w:uiPriority w:val="21"/>
    <w:qFormat/>
    <w:rsid w:val="00626398"/>
    <w:rPr>
      <w:i/>
      <w:iCs/>
      <w:color w:val="2F5496" w:themeColor="accent1" w:themeShade="BF"/>
    </w:rPr>
  </w:style>
  <w:style w:type="paragraph" w:styleId="Citadestacada">
    <w:name w:val="Intense Quote"/>
    <w:basedOn w:val="Normal"/>
    <w:next w:val="Normal"/>
    <w:link w:val="CitadestacadaCar"/>
    <w:uiPriority w:val="30"/>
    <w:qFormat/>
    <w:rsid w:val="00626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26398"/>
    <w:rPr>
      <w:rFonts w:ascii="Times New Roman" w:hAnsi="Times New Roman"/>
      <w:i/>
      <w:iCs/>
      <w:color w:val="2F5496" w:themeColor="accent1" w:themeShade="BF"/>
      <w:sz w:val="24"/>
      <w:lang w:val="es-ES"/>
    </w:rPr>
  </w:style>
  <w:style w:type="character" w:styleId="Referenciaintensa">
    <w:name w:val="Intense Reference"/>
    <w:basedOn w:val="Fuentedeprrafopredeter"/>
    <w:uiPriority w:val="32"/>
    <w:qFormat/>
    <w:rsid w:val="00626398"/>
    <w:rPr>
      <w:b/>
      <w:bCs/>
      <w:smallCaps/>
      <w:color w:val="2F5496" w:themeColor="accent1" w:themeShade="BF"/>
      <w:spacing w:val="5"/>
    </w:rPr>
  </w:style>
  <w:style w:type="character" w:styleId="Hipervnculo">
    <w:name w:val="Hyperlink"/>
    <w:basedOn w:val="Fuentedeprrafopredeter"/>
    <w:uiPriority w:val="99"/>
    <w:unhideWhenUsed/>
    <w:rsid w:val="00D42EBF"/>
    <w:rPr>
      <w:color w:val="0563C1" w:themeColor="hyperlink"/>
      <w:u w:val="single"/>
    </w:rPr>
  </w:style>
  <w:style w:type="paragraph" w:styleId="Revisin">
    <w:name w:val="Revision"/>
    <w:hidden/>
    <w:uiPriority w:val="99"/>
    <w:semiHidden/>
    <w:rsid w:val="003764EB"/>
    <w:pPr>
      <w:spacing w:after="0" w:line="240" w:lineRule="auto"/>
    </w:pPr>
    <w:rPr>
      <w:rFonts w:ascii="Times New Roman" w:hAnsi="Times New Roman"/>
      <w:sz w:val="24"/>
      <w:lang w:val="es-ES"/>
    </w:rPr>
  </w:style>
  <w:style w:type="character" w:styleId="Mencinsinresolver">
    <w:name w:val="Unresolved Mention"/>
    <w:basedOn w:val="Fuentedeprrafopredeter"/>
    <w:uiPriority w:val="99"/>
    <w:semiHidden/>
    <w:unhideWhenUsed/>
    <w:rsid w:val="00B34643"/>
    <w:rPr>
      <w:color w:val="605E5C"/>
      <w:shd w:val="clear" w:color="auto" w:fill="E1DFDD"/>
    </w:rPr>
  </w:style>
  <w:style w:type="paragraph" w:styleId="Textoindependiente">
    <w:name w:val="Body Text"/>
    <w:basedOn w:val="Normal"/>
    <w:link w:val="TextoindependienteCar"/>
    <w:uiPriority w:val="1"/>
    <w:qFormat/>
    <w:rsid w:val="00720F6F"/>
    <w:pPr>
      <w:widowControl w:val="0"/>
      <w:autoSpaceDE w:val="0"/>
      <w:autoSpaceDN w:val="0"/>
      <w:spacing w:line="240" w:lineRule="auto"/>
      <w:ind w:left="708" w:firstLine="0"/>
      <w:jc w:val="both"/>
    </w:pPr>
    <w:rPr>
      <w:rFonts w:ascii="Verdana" w:eastAsia="Verdana" w:hAnsi="Verdana" w:cs="Verdana"/>
      <w:kern w:val="0"/>
      <w:sz w:val="22"/>
    </w:rPr>
  </w:style>
  <w:style w:type="character" w:customStyle="1" w:styleId="TextoindependienteCar">
    <w:name w:val="Texto independiente Car"/>
    <w:basedOn w:val="Fuentedeprrafopredeter"/>
    <w:link w:val="Textoindependiente"/>
    <w:uiPriority w:val="1"/>
    <w:rsid w:val="00720F6F"/>
    <w:rPr>
      <w:rFonts w:ascii="Verdana" w:eastAsia="Verdana" w:hAnsi="Verdana" w:cs="Verdana"/>
      <w:kern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9138">
      <w:bodyDiv w:val="1"/>
      <w:marLeft w:val="0"/>
      <w:marRight w:val="0"/>
      <w:marTop w:val="0"/>
      <w:marBottom w:val="0"/>
      <w:divBdr>
        <w:top w:val="none" w:sz="0" w:space="0" w:color="auto"/>
        <w:left w:val="none" w:sz="0" w:space="0" w:color="auto"/>
        <w:bottom w:val="none" w:sz="0" w:space="0" w:color="auto"/>
        <w:right w:val="none" w:sz="0" w:space="0" w:color="auto"/>
      </w:divBdr>
    </w:div>
    <w:div w:id="287929566">
      <w:bodyDiv w:val="1"/>
      <w:marLeft w:val="0"/>
      <w:marRight w:val="0"/>
      <w:marTop w:val="0"/>
      <w:marBottom w:val="0"/>
      <w:divBdr>
        <w:top w:val="none" w:sz="0" w:space="0" w:color="auto"/>
        <w:left w:val="none" w:sz="0" w:space="0" w:color="auto"/>
        <w:bottom w:val="none" w:sz="0" w:space="0" w:color="auto"/>
        <w:right w:val="none" w:sz="0" w:space="0" w:color="auto"/>
      </w:divBdr>
    </w:div>
    <w:div w:id="390233354">
      <w:bodyDiv w:val="1"/>
      <w:marLeft w:val="0"/>
      <w:marRight w:val="0"/>
      <w:marTop w:val="0"/>
      <w:marBottom w:val="0"/>
      <w:divBdr>
        <w:top w:val="none" w:sz="0" w:space="0" w:color="auto"/>
        <w:left w:val="none" w:sz="0" w:space="0" w:color="auto"/>
        <w:bottom w:val="none" w:sz="0" w:space="0" w:color="auto"/>
        <w:right w:val="none" w:sz="0" w:space="0" w:color="auto"/>
      </w:divBdr>
    </w:div>
    <w:div w:id="427118029">
      <w:bodyDiv w:val="1"/>
      <w:marLeft w:val="0"/>
      <w:marRight w:val="0"/>
      <w:marTop w:val="0"/>
      <w:marBottom w:val="0"/>
      <w:divBdr>
        <w:top w:val="none" w:sz="0" w:space="0" w:color="auto"/>
        <w:left w:val="none" w:sz="0" w:space="0" w:color="auto"/>
        <w:bottom w:val="none" w:sz="0" w:space="0" w:color="auto"/>
        <w:right w:val="none" w:sz="0" w:space="0" w:color="auto"/>
      </w:divBdr>
    </w:div>
    <w:div w:id="473061509">
      <w:bodyDiv w:val="1"/>
      <w:marLeft w:val="0"/>
      <w:marRight w:val="0"/>
      <w:marTop w:val="0"/>
      <w:marBottom w:val="0"/>
      <w:divBdr>
        <w:top w:val="none" w:sz="0" w:space="0" w:color="auto"/>
        <w:left w:val="none" w:sz="0" w:space="0" w:color="auto"/>
        <w:bottom w:val="none" w:sz="0" w:space="0" w:color="auto"/>
        <w:right w:val="none" w:sz="0" w:space="0" w:color="auto"/>
      </w:divBdr>
    </w:div>
    <w:div w:id="619648927">
      <w:bodyDiv w:val="1"/>
      <w:marLeft w:val="0"/>
      <w:marRight w:val="0"/>
      <w:marTop w:val="0"/>
      <w:marBottom w:val="0"/>
      <w:divBdr>
        <w:top w:val="none" w:sz="0" w:space="0" w:color="auto"/>
        <w:left w:val="none" w:sz="0" w:space="0" w:color="auto"/>
        <w:bottom w:val="none" w:sz="0" w:space="0" w:color="auto"/>
        <w:right w:val="none" w:sz="0" w:space="0" w:color="auto"/>
      </w:divBdr>
    </w:div>
    <w:div w:id="910504330">
      <w:bodyDiv w:val="1"/>
      <w:marLeft w:val="0"/>
      <w:marRight w:val="0"/>
      <w:marTop w:val="0"/>
      <w:marBottom w:val="0"/>
      <w:divBdr>
        <w:top w:val="none" w:sz="0" w:space="0" w:color="auto"/>
        <w:left w:val="none" w:sz="0" w:space="0" w:color="auto"/>
        <w:bottom w:val="none" w:sz="0" w:space="0" w:color="auto"/>
        <w:right w:val="none" w:sz="0" w:space="0" w:color="auto"/>
      </w:divBdr>
    </w:div>
    <w:div w:id="1130854670">
      <w:bodyDiv w:val="1"/>
      <w:marLeft w:val="0"/>
      <w:marRight w:val="0"/>
      <w:marTop w:val="0"/>
      <w:marBottom w:val="0"/>
      <w:divBdr>
        <w:top w:val="none" w:sz="0" w:space="0" w:color="auto"/>
        <w:left w:val="none" w:sz="0" w:space="0" w:color="auto"/>
        <w:bottom w:val="none" w:sz="0" w:space="0" w:color="auto"/>
        <w:right w:val="none" w:sz="0" w:space="0" w:color="auto"/>
      </w:divBdr>
      <w:divsChild>
        <w:div w:id="731584879">
          <w:marLeft w:val="0"/>
          <w:marRight w:val="0"/>
          <w:marTop w:val="0"/>
          <w:marBottom w:val="0"/>
          <w:divBdr>
            <w:top w:val="none" w:sz="0" w:space="0" w:color="auto"/>
            <w:left w:val="none" w:sz="0" w:space="0" w:color="auto"/>
            <w:bottom w:val="none" w:sz="0" w:space="0" w:color="auto"/>
            <w:right w:val="none" w:sz="0" w:space="0" w:color="auto"/>
          </w:divBdr>
        </w:div>
      </w:divsChild>
    </w:div>
    <w:div w:id="1161769457">
      <w:bodyDiv w:val="1"/>
      <w:marLeft w:val="0"/>
      <w:marRight w:val="0"/>
      <w:marTop w:val="0"/>
      <w:marBottom w:val="0"/>
      <w:divBdr>
        <w:top w:val="none" w:sz="0" w:space="0" w:color="auto"/>
        <w:left w:val="none" w:sz="0" w:space="0" w:color="auto"/>
        <w:bottom w:val="none" w:sz="0" w:space="0" w:color="auto"/>
        <w:right w:val="none" w:sz="0" w:space="0" w:color="auto"/>
      </w:divBdr>
    </w:div>
    <w:div w:id="1545361468">
      <w:bodyDiv w:val="1"/>
      <w:marLeft w:val="0"/>
      <w:marRight w:val="0"/>
      <w:marTop w:val="0"/>
      <w:marBottom w:val="0"/>
      <w:divBdr>
        <w:top w:val="none" w:sz="0" w:space="0" w:color="auto"/>
        <w:left w:val="none" w:sz="0" w:space="0" w:color="auto"/>
        <w:bottom w:val="none" w:sz="0" w:space="0" w:color="auto"/>
        <w:right w:val="none" w:sz="0" w:space="0" w:color="auto"/>
      </w:divBdr>
      <w:divsChild>
        <w:div w:id="438644688">
          <w:marLeft w:val="0"/>
          <w:marRight w:val="0"/>
          <w:marTop w:val="0"/>
          <w:marBottom w:val="0"/>
          <w:divBdr>
            <w:top w:val="none" w:sz="0" w:space="0" w:color="auto"/>
            <w:left w:val="none" w:sz="0" w:space="0" w:color="auto"/>
            <w:bottom w:val="none" w:sz="0" w:space="0" w:color="auto"/>
            <w:right w:val="none" w:sz="0" w:space="0" w:color="auto"/>
          </w:divBdr>
        </w:div>
      </w:divsChild>
    </w:div>
    <w:div w:id="1743940773">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3">
          <w:marLeft w:val="0"/>
          <w:marRight w:val="0"/>
          <w:marTop w:val="0"/>
          <w:marBottom w:val="0"/>
          <w:divBdr>
            <w:top w:val="none" w:sz="0" w:space="0" w:color="auto"/>
            <w:left w:val="none" w:sz="0" w:space="0" w:color="auto"/>
            <w:bottom w:val="none" w:sz="0" w:space="0" w:color="auto"/>
            <w:right w:val="none" w:sz="0" w:space="0" w:color="auto"/>
          </w:divBdr>
        </w:div>
      </w:divsChild>
    </w:div>
    <w:div w:id="1761832675">
      <w:bodyDiv w:val="1"/>
      <w:marLeft w:val="0"/>
      <w:marRight w:val="0"/>
      <w:marTop w:val="0"/>
      <w:marBottom w:val="0"/>
      <w:divBdr>
        <w:top w:val="none" w:sz="0" w:space="0" w:color="auto"/>
        <w:left w:val="none" w:sz="0" w:space="0" w:color="auto"/>
        <w:bottom w:val="none" w:sz="0" w:space="0" w:color="auto"/>
        <w:right w:val="none" w:sz="0" w:space="0" w:color="auto"/>
      </w:divBdr>
      <w:divsChild>
        <w:div w:id="1039168316">
          <w:marLeft w:val="0"/>
          <w:marRight w:val="0"/>
          <w:marTop w:val="0"/>
          <w:marBottom w:val="0"/>
          <w:divBdr>
            <w:top w:val="none" w:sz="0" w:space="0" w:color="auto"/>
            <w:left w:val="none" w:sz="0" w:space="0" w:color="auto"/>
            <w:bottom w:val="none" w:sz="0" w:space="0" w:color="auto"/>
            <w:right w:val="none" w:sz="0" w:space="0" w:color="auto"/>
          </w:divBdr>
        </w:div>
      </w:divsChild>
    </w:div>
    <w:div w:id="1802456266">
      <w:bodyDiv w:val="1"/>
      <w:marLeft w:val="0"/>
      <w:marRight w:val="0"/>
      <w:marTop w:val="0"/>
      <w:marBottom w:val="0"/>
      <w:divBdr>
        <w:top w:val="none" w:sz="0" w:space="0" w:color="auto"/>
        <w:left w:val="none" w:sz="0" w:space="0" w:color="auto"/>
        <w:bottom w:val="none" w:sz="0" w:space="0" w:color="auto"/>
        <w:right w:val="none" w:sz="0" w:space="0" w:color="auto"/>
      </w:divBdr>
      <w:divsChild>
        <w:div w:id="868644688">
          <w:marLeft w:val="0"/>
          <w:marRight w:val="0"/>
          <w:marTop w:val="0"/>
          <w:marBottom w:val="0"/>
          <w:divBdr>
            <w:top w:val="none" w:sz="0" w:space="0" w:color="auto"/>
            <w:left w:val="none" w:sz="0" w:space="0" w:color="auto"/>
            <w:bottom w:val="none" w:sz="0" w:space="0" w:color="auto"/>
            <w:right w:val="none" w:sz="0" w:space="0" w:color="auto"/>
          </w:divBdr>
        </w:div>
      </w:divsChild>
    </w:div>
    <w:div w:id="1878930801">
      <w:bodyDiv w:val="1"/>
      <w:marLeft w:val="0"/>
      <w:marRight w:val="0"/>
      <w:marTop w:val="0"/>
      <w:marBottom w:val="0"/>
      <w:divBdr>
        <w:top w:val="none" w:sz="0" w:space="0" w:color="auto"/>
        <w:left w:val="none" w:sz="0" w:space="0" w:color="auto"/>
        <w:bottom w:val="none" w:sz="0" w:space="0" w:color="auto"/>
        <w:right w:val="none" w:sz="0" w:space="0" w:color="auto"/>
      </w:divBdr>
      <w:divsChild>
        <w:div w:id="1139222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336-018-9626-9" TargetMode="External"/><Relationship Id="rId21" Type="http://schemas.openxmlformats.org/officeDocument/2006/relationships/hyperlink" Target="https://doi.org/10.3390/s22207985" TargetMode="External"/><Relationship Id="rId42" Type="http://schemas.openxmlformats.org/officeDocument/2006/relationships/hyperlink" Target="https://doi.org/10.58763/rc20228" TargetMode="External"/><Relationship Id="rId47" Type="http://schemas.openxmlformats.org/officeDocument/2006/relationships/hyperlink" Target="https://doi.org/10.58763/rc202214" TargetMode="External"/><Relationship Id="rId63" Type="http://schemas.openxmlformats.org/officeDocument/2006/relationships/hyperlink" Target="https://doi.org/10.1007/s13347-022-00512-8" TargetMode="External"/><Relationship Id="rId68" Type="http://schemas.openxmlformats.org/officeDocument/2006/relationships/hyperlink" Target="https://doi.org/10.1017/err.2020.8" TargetMode="External"/><Relationship Id="rId84" Type="http://schemas.openxmlformats.org/officeDocument/2006/relationships/theme" Target="theme/theme1.xml"/><Relationship Id="rId16" Type="http://schemas.microsoft.com/office/2007/relationships/diagramDrawing" Target="diagrams/drawing2.xml"/><Relationship Id="rId11" Type="http://schemas.microsoft.com/office/2007/relationships/diagramDrawing" Target="diagrams/drawing1.xml"/><Relationship Id="rId32" Type="http://schemas.openxmlformats.org/officeDocument/2006/relationships/hyperlink" Target="https://doi.org/10.1038/S42256-019-0055-Y" TargetMode="External"/><Relationship Id="rId37" Type="http://schemas.openxmlformats.org/officeDocument/2006/relationships/hyperlink" Target="https://doi.org/10.34172/ijhpm.2022.7075" TargetMode="External"/><Relationship Id="rId53" Type="http://schemas.openxmlformats.org/officeDocument/2006/relationships/hyperlink" Target="https://doi.org/10.1145/3457607" TargetMode="External"/><Relationship Id="rId58" Type="http://schemas.openxmlformats.org/officeDocument/2006/relationships/hyperlink" Target="https://doi.org/10.1109/ACCESS.2020.2981912" TargetMode="External"/><Relationship Id="rId74" Type="http://schemas.openxmlformats.org/officeDocument/2006/relationships/hyperlink" Target="https://doi.org/10.1016/j.jenvman.2019.110025" TargetMode="External"/><Relationship Id="rId79" Type="http://schemas.openxmlformats.org/officeDocument/2006/relationships/hyperlink" Target="https://doi.org/10.1007/s10676-021-09599-7" TargetMode="External"/><Relationship Id="rId5" Type="http://schemas.openxmlformats.org/officeDocument/2006/relationships/webSettings" Target="webSettings.xml"/><Relationship Id="rId61" Type="http://schemas.openxmlformats.org/officeDocument/2006/relationships/hyperlink" Target="http://scielo.sld.cu/scielo.php?script=sci_arttext&amp;pid=S2077-29552019000300280" TargetMode="External"/><Relationship Id="rId82" Type="http://schemas.openxmlformats.org/officeDocument/2006/relationships/hyperlink" Target="https://doi.org/10.1080/03057925.2019.1702503" TargetMode="External"/><Relationship Id="rId19" Type="http://schemas.openxmlformats.org/officeDocument/2006/relationships/hyperlink" Target="https://doi.org/10.1080/03050068.2018.1538635" TargetMode="External"/><Relationship Id="rId14" Type="http://schemas.openxmlformats.org/officeDocument/2006/relationships/diagramQuickStyle" Target="diagrams/quickStyle2.xml"/><Relationship Id="rId22" Type="http://schemas.openxmlformats.org/officeDocument/2006/relationships/hyperlink" Target="https://doi.org/10.1177/20539517221115426" TargetMode="External"/><Relationship Id="rId27" Type="http://schemas.openxmlformats.org/officeDocument/2006/relationships/hyperlink" Target="https://doi.org/10.1002/sim.9422" TargetMode="External"/><Relationship Id="rId30" Type="http://schemas.openxmlformats.org/officeDocument/2006/relationships/hyperlink" Target="https://doi.org/10.18653/v1/2022.naacl-main.122" TargetMode="External"/><Relationship Id="rId35" Type="http://schemas.openxmlformats.org/officeDocument/2006/relationships/hyperlink" Target="https://doi.org/10.58763/rc20229" TargetMode="External"/><Relationship Id="rId43" Type="http://schemas.openxmlformats.org/officeDocument/2006/relationships/hyperlink" Target="https://doi.org/10.1186/s12916-019-1426-2" TargetMode="External"/><Relationship Id="rId48" Type="http://schemas.openxmlformats.org/officeDocument/2006/relationships/hyperlink" Target="https://doi.org/10.1111/biom.12817" TargetMode="External"/><Relationship Id="rId56" Type="http://schemas.openxmlformats.org/officeDocument/2006/relationships/hyperlink" Target="https://doi.org/10.1007/s11023-022-09612-y" TargetMode="External"/><Relationship Id="rId64" Type="http://schemas.openxmlformats.org/officeDocument/2006/relationships/hyperlink" Target="https://doi.org/10.1093/ije/dyab061" TargetMode="External"/><Relationship Id="rId69" Type="http://schemas.openxmlformats.org/officeDocument/2006/relationships/hyperlink" Target="https://doi.org/10.56294/dm202221" TargetMode="External"/><Relationship Id="rId77" Type="http://schemas.openxmlformats.org/officeDocument/2006/relationships/hyperlink" Target="https://doi.org/10.18546/IJDEGL.11.1.05" TargetMode="External"/><Relationship Id="rId8" Type="http://schemas.openxmlformats.org/officeDocument/2006/relationships/diagramLayout" Target="diagrams/layout1.xml"/><Relationship Id="rId51" Type="http://schemas.openxmlformats.org/officeDocument/2006/relationships/hyperlink" Target="https://doi.org/10.1080/00273171.2020.1794774" TargetMode="External"/><Relationship Id="rId72" Type="http://schemas.openxmlformats.org/officeDocument/2006/relationships/hyperlink" Target="https://doi.org/10.58763/rc20222" TargetMode="External"/><Relationship Id="rId80" Type="http://schemas.openxmlformats.org/officeDocument/2006/relationships/hyperlink" Target="https://doi.org/10.1136/bmjos-2020-100116" TargetMode="External"/><Relationship Id="rId3" Type="http://schemas.openxmlformats.org/officeDocument/2006/relationships/styles" Target="styles.xml"/><Relationship Id="rId12" Type="http://schemas.openxmlformats.org/officeDocument/2006/relationships/diagramData" Target="diagrams/data2.xml"/><Relationship Id="rId17" Type="http://schemas.openxmlformats.org/officeDocument/2006/relationships/hyperlink" Target="https://doi.org/10.1080/14767724.2020.1862643" TargetMode="External"/><Relationship Id="rId25" Type="http://schemas.openxmlformats.org/officeDocument/2006/relationships/hyperlink" Target="https://doi.org/10.1177/237946152000600106" TargetMode="External"/><Relationship Id="rId33" Type="http://schemas.openxmlformats.org/officeDocument/2006/relationships/hyperlink" Target="https://doi.org/10.18653/v1/2021.acl-long.150" TargetMode="External"/><Relationship Id="rId38" Type="http://schemas.openxmlformats.org/officeDocument/2006/relationships/hyperlink" Target="https://doi.org/10.18041/2215-8944/academia.25.10601" TargetMode="External"/><Relationship Id="rId46" Type="http://schemas.openxmlformats.org/officeDocument/2006/relationships/hyperlink" Target="https://doi.org/10.2139/ssrn.3723046" TargetMode="External"/><Relationship Id="rId59" Type="http://schemas.openxmlformats.org/officeDocument/2006/relationships/hyperlink" Target="https://doi.org/10.1002/widm.1356" TargetMode="External"/><Relationship Id="rId67" Type="http://schemas.openxmlformats.org/officeDocument/2006/relationships/hyperlink" Target="https://doi.org/10.58763/rc202210" TargetMode="External"/><Relationship Id="rId20" Type="http://schemas.openxmlformats.org/officeDocument/2006/relationships/hyperlink" Target="https://doi.org/10.2991/iscfec-18.2019.24" TargetMode="External"/><Relationship Id="rId41" Type="http://schemas.openxmlformats.org/officeDocument/2006/relationships/hyperlink" Target="https://doi.org/10.58763/rc20224" TargetMode="External"/><Relationship Id="rId54" Type="http://schemas.openxmlformats.org/officeDocument/2006/relationships/hyperlink" Target="https://doi.org/10.1007/s10994-022-06213-9" TargetMode="External"/><Relationship Id="rId62" Type="http://schemas.openxmlformats.org/officeDocument/2006/relationships/hyperlink" Target="https://doi.org/10.56294/dm202292" TargetMode="External"/><Relationship Id="rId70" Type="http://schemas.openxmlformats.org/officeDocument/2006/relationships/hyperlink" Target="https://doi.org/10.4103/EHP.EHP_8_19" TargetMode="External"/><Relationship Id="rId75" Type="http://schemas.openxmlformats.org/officeDocument/2006/relationships/hyperlink" Target="https://doi.org/10.1080/03057925.2019.1586194"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diagramColors" Target="diagrams/colors2.xml"/><Relationship Id="rId23" Type="http://schemas.openxmlformats.org/officeDocument/2006/relationships/hyperlink" Target="https://doi.org/10.58763/rc202213" TargetMode="External"/><Relationship Id="rId28" Type="http://schemas.openxmlformats.org/officeDocument/2006/relationships/hyperlink" Target="https://doi.org/10.1162/tacl_a_00425" TargetMode="External"/><Relationship Id="rId36" Type="http://schemas.openxmlformats.org/officeDocument/2006/relationships/hyperlink" Target="https://doi.org/10.17981/econcuc.42.2.2021.Org.7" TargetMode="External"/><Relationship Id="rId49" Type="http://schemas.openxmlformats.org/officeDocument/2006/relationships/hyperlink" Target="https://doi.org/10.1109/TVCG.2023.3239909" TargetMode="External"/><Relationship Id="rId57" Type="http://schemas.openxmlformats.org/officeDocument/2006/relationships/hyperlink" Target="https://doi.org/10.1007/s11606-018-4411-0" TargetMode="External"/><Relationship Id="rId10" Type="http://schemas.openxmlformats.org/officeDocument/2006/relationships/diagramColors" Target="diagrams/colors1.xml"/><Relationship Id="rId31" Type="http://schemas.openxmlformats.org/officeDocument/2006/relationships/hyperlink" Target="https://doi.org/10.1080/00220973.2019.1582470" TargetMode="External"/><Relationship Id="rId44" Type="http://schemas.openxmlformats.org/officeDocument/2006/relationships/hyperlink" Target="https://doi.org/10.1080/02568543.2021.1912222" TargetMode="External"/><Relationship Id="rId52" Type="http://schemas.openxmlformats.org/officeDocument/2006/relationships/hyperlink" Target="https://doi.org/10.1017/S0020589319000046" TargetMode="External"/><Relationship Id="rId60" Type="http://schemas.openxmlformats.org/officeDocument/2006/relationships/hyperlink" Target="https://doi.org/10.58763/rc20225" TargetMode="External"/><Relationship Id="rId65" Type="http://schemas.openxmlformats.org/officeDocument/2006/relationships/hyperlink" Target="https://doi.org/10.36695/2219-5521.3.2020.74" TargetMode="External"/><Relationship Id="rId73" Type="http://schemas.openxmlformats.org/officeDocument/2006/relationships/hyperlink" Target="https://doi.org/10.18653/v1/2022.findings-aacl.8" TargetMode="External"/><Relationship Id="rId78" Type="http://schemas.openxmlformats.org/officeDocument/2006/relationships/hyperlink" Target="https://doi.org/10.1109/TVCG.2019.2934619" TargetMode="External"/><Relationship Id="rId81" Type="http://schemas.openxmlformats.org/officeDocument/2006/relationships/hyperlink" Target="https://doi.org/10.1109/ACCESS.2020.2990800" TargetMode="External"/><Relationship Id="rId4" Type="http://schemas.openxmlformats.org/officeDocument/2006/relationships/settings" Target="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hyperlink" Target="https://doi.org/10.15641/JCBM.4.1.530" TargetMode="External"/><Relationship Id="rId39" Type="http://schemas.openxmlformats.org/officeDocument/2006/relationships/hyperlink" Target="https://doi.org/10.48550/arXiv.2203.06317" TargetMode="External"/><Relationship Id="rId34" Type="http://schemas.openxmlformats.org/officeDocument/2006/relationships/hyperlink" Target="https://doi.org/10.58763/rc20226" TargetMode="External"/><Relationship Id="rId50" Type="http://schemas.openxmlformats.org/officeDocument/2006/relationships/hyperlink" Target="https://doi.org/10.1145/3512899" TargetMode="External"/><Relationship Id="rId55" Type="http://schemas.openxmlformats.org/officeDocument/2006/relationships/hyperlink" Target="https://doi.org/10.58763/rc202211" TargetMode="External"/><Relationship Id="rId76" Type="http://schemas.openxmlformats.org/officeDocument/2006/relationships/hyperlink" Target="https://doi.org/10.1007/978-3-030-90963-5_43" TargetMode="External"/><Relationship Id="rId7" Type="http://schemas.openxmlformats.org/officeDocument/2006/relationships/diagramData" Target="diagrams/data1.xml"/><Relationship Id="rId71" Type="http://schemas.openxmlformats.org/officeDocument/2006/relationships/hyperlink" Target="https://doi.org/10.48550/arXiv.2209.09592" TargetMode="External"/><Relationship Id="rId2" Type="http://schemas.openxmlformats.org/officeDocument/2006/relationships/numbering" Target="numbering.xml"/><Relationship Id="rId29" Type="http://schemas.openxmlformats.org/officeDocument/2006/relationships/hyperlink" Target="https://doi.org/10.1142/9789811270611_0029" TargetMode="External"/><Relationship Id="rId24" Type="http://schemas.openxmlformats.org/officeDocument/2006/relationships/hyperlink" Target="https://doi.org/10.1111/puar.13293" TargetMode="External"/><Relationship Id="rId40" Type="http://schemas.openxmlformats.org/officeDocument/2006/relationships/hyperlink" Target="https://doi.org/10.1007/978-3-030-29513-4_94" TargetMode="External"/><Relationship Id="rId45" Type="http://schemas.openxmlformats.org/officeDocument/2006/relationships/hyperlink" Target="https://doi.org/10.1080/02703149.2018.1524070" TargetMode="External"/><Relationship Id="rId66" Type="http://schemas.openxmlformats.org/officeDocument/2006/relationships/hyperlink" Target="https://doi.org/10.1523/JNEUROSCI.0198-22.202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D3233D-27EA-41EB-9EC4-03D5DA7EEDA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s-CU"/>
        </a:p>
      </dgm:t>
    </dgm:pt>
    <dgm:pt modelId="{CCE8F925-B8D9-4EC5-9A59-A6B222CCDF71}">
      <dgm:prSet phldrT="[Texto]" custT="1"/>
      <dgm:spPr/>
      <dgm:t>
        <a:bodyPr/>
        <a:lstStyle/>
        <a:p>
          <a:pPr>
            <a:buNone/>
          </a:pPr>
          <a:r>
            <a:rPr lang="es-CU" sz="1200" b="1">
              <a:latin typeface="Times New Roman" panose="02020603050405020304" pitchFamily="18" charset="0"/>
              <a:cs typeface="Times New Roman" panose="02020603050405020304" pitchFamily="18" charset="0"/>
            </a:rPr>
            <a:t>Definición de criterios de búsqueda</a:t>
          </a:r>
          <a:endParaRPr lang="es-CU" sz="1200">
            <a:latin typeface="Times New Roman" panose="02020603050405020304" pitchFamily="18" charset="0"/>
            <a:cs typeface="Times New Roman" panose="02020603050405020304" pitchFamily="18" charset="0"/>
          </a:endParaRPr>
        </a:p>
      </dgm:t>
    </dgm:pt>
    <dgm:pt modelId="{5A6C824B-B594-4BAB-BA6D-AF0FDD8902A6}" type="parTrans" cxnId="{845996ED-B531-4DD4-A51F-8EF02281EC98}">
      <dgm:prSet/>
      <dgm:spPr/>
      <dgm:t>
        <a:bodyPr/>
        <a:lstStyle/>
        <a:p>
          <a:endParaRPr lang="es-CU" sz="1200">
            <a:latin typeface="Times New Roman" panose="02020603050405020304" pitchFamily="18" charset="0"/>
            <a:cs typeface="Times New Roman" panose="02020603050405020304" pitchFamily="18" charset="0"/>
          </a:endParaRPr>
        </a:p>
      </dgm:t>
    </dgm:pt>
    <dgm:pt modelId="{E56A6B93-7604-453F-A292-44089C38F2D9}" type="sibTrans" cxnId="{845996ED-B531-4DD4-A51F-8EF02281EC98}">
      <dgm:prSet/>
      <dgm:spPr/>
      <dgm:t>
        <a:bodyPr/>
        <a:lstStyle/>
        <a:p>
          <a:endParaRPr lang="es-CU" sz="1200">
            <a:latin typeface="Times New Roman" panose="02020603050405020304" pitchFamily="18" charset="0"/>
            <a:cs typeface="Times New Roman" panose="02020603050405020304" pitchFamily="18" charset="0"/>
          </a:endParaRPr>
        </a:p>
      </dgm:t>
    </dgm:pt>
    <dgm:pt modelId="{322F3C51-D9A8-4271-86F7-5E9CF4D8A11E}">
      <dgm:prSet phldrT="[Texto]" custT="1"/>
      <dgm:spPr/>
      <dgm:t>
        <a:bodyPr/>
        <a:lstStyle/>
        <a:p>
          <a:pPr>
            <a:buNone/>
          </a:pPr>
          <a:r>
            <a:rPr lang="es-CU" sz="1200">
              <a:latin typeface="Times New Roman" panose="02020603050405020304" pitchFamily="18" charset="0"/>
              <a:cs typeface="Times New Roman" panose="02020603050405020304" pitchFamily="18" charset="0"/>
            </a:rPr>
            <a:t>Bases de datos: Scopus y Web of Science</a:t>
          </a:r>
        </a:p>
      </dgm:t>
    </dgm:pt>
    <dgm:pt modelId="{91E6EA5B-3A1B-4A6E-AE06-90B9E39F6444}" type="parTrans" cxnId="{D8411CD6-89C2-40AB-96C1-BBC0AC43BC37}">
      <dgm:prSet/>
      <dgm:spPr/>
      <dgm:t>
        <a:bodyPr/>
        <a:lstStyle/>
        <a:p>
          <a:endParaRPr lang="es-CU" sz="1200">
            <a:latin typeface="Times New Roman" panose="02020603050405020304" pitchFamily="18" charset="0"/>
            <a:cs typeface="Times New Roman" panose="02020603050405020304" pitchFamily="18" charset="0"/>
          </a:endParaRPr>
        </a:p>
      </dgm:t>
    </dgm:pt>
    <dgm:pt modelId="{7FF0313B-B04D-4B12-A4B5-6794939FDA6B}" type="sibTrans" cxnId="{D8411CD6-89C2-40AB-96C1-BBC0AC43BC37}">
      <dgm:prSet/>
      <dgm:spPr/>
      <dgm:t>
        <a:bodyPr/>
        <a:lstStyle/>
        <a:p>
          <a:endParaRPr lang="es-CU" sz="1200">
            <a:latin typeface="Times New Roman" panose="02020603050405020304" pitchFamily="18" charset="0"/>
            <a:cs typeface="Times New Roman" panose="02020603050405020304" pitchFamily="18" charset="0"/>
          </a:endParaRPr>
        </a:p>
      </dgm:t>
    </dgm:pt>
    <dgm:pt modelId="{6DBF78FD-5279-4CB9-9858-5E22CCBC394B}">
      <dgm:prSet phldrT="[Texto]" custT="1"/>
      <dgm:spPr/>
      <dgm:t>
        <a:bodyPr/>
        <a:lstStyle/>
        <a:p>
          <a:pPr>
            <a:buNone/>
          </a:pPr>
          <a:r>
            <a:rPr lang="es-CU" sz="1200" b="1"/>
            <a:t>Screening y selección inicial</a:t>
          </a:r>
          <a:endParaRPr lang="es-CU" sz="1200">
            <a:latin typeface="Times New Roman" panose="02020603050405020304" pitchFamily="18" charset="0"/>
            <a:cs typeface="Times New Roman" panose="02020603050405020304" pitchFamily="18" charset="0"/>
          </a:endParaRPr>
        </a:p>
      </dgm:t>
    </dgm:pt>
    <dgm:pt modelId="{6687F7A0-63BF-4019-BDB2-C0EB05F1FD3D}" type="parTrans" cxnId="{0685FE40-8468-42DA-9029-0BCB40C61AB1}">
      <dgm:prSet/>
      <dgm:spPr/>
      <dgm:t>
        <a:bodyPr/>
        <a:lstStyle/>
        <a:p>
          <a:endParaRPr lang="es-CU" sz="1200">
            <a:latin typeface="Times New Roman" panose="02020603050405020304" pitchFamily="18" charset="0"/>
            <a:cs typeface="Times New Roman" panose="02020603050405020304" pitchFamily="18" charset="0"/>
          </a:endParaRPr>
        </a:p>
      </dgm:t>
    </dgm:pt>
    <dgm:pt modelId="{E921F39B-3924-4294-B11B-BAA7DC75B66F}" type="sibTrans" cxnId="{0685FE40-8468-42DA-9029-0BCB40C61AB1}">
      <dgm:prSet/>
      <dgm:spPr/>
      <dgm:t>
        <a:bodyPr/>
        <a:lstStyle/>
        <a:p>
          <a:endParaRPr lang="es-CU" sz="1200">
            <a:latin typeface="Times New Roman" panose="02020603050405020304" pitchFamily="18" charset="0"/>
            <a:cs typeface="Times New Roman" panose="02020603050405020304" pitchFamily="18" charset="0"/>
          </a:endParaRPr>
        </a:p>
      </dgm:t>
    </dgm:pt>
    <dgm:pt modelId="{1793CDA8-5803-4E03-A271-70F753DD2952}">
      <dgm:prSet phldrT="[Texto]" custT="1"/>
      <dgm:spPr/>
      <dgm:t>
        <a:bodyPr/>
        <a:lstStyle/>
        <a:p>
          <a:pPr>
            <a:buNone/>
          </a:pPr>
          <a:r>
            <a:rPr lang="es-CU" sz="1200">
              <a:latin typeface="Times New Roman" panose="02020603050405020304" pitchFamily="18" charset="0"/>
              <a:cs typeface="Times New Roman" panose="02020603050405020304" pitchFamily="18" charset="0"/>
            </a:rPr>
            <a:t>Eliminación de duplicados mediante herramientas bibliométricas </a:t>
          </a:r>
        </a:p>
      </dgm:t>
    </dgm:pt>
    <dgm:pt modelId="{CE3BC883-0A24-403E-8B58-1DE0D4DDA3F7}" type="parTrans" cxnId="{E0D2EC09-7C58-4C42-BC98-FB866C431CF8}">
      <dgm:prSet/>
      <dgm:spPr/>
      <dgm:t>
        <a:bodyPr/>
        <a:lstStyle/>
        <a:p>
          <a:endParaRPr lang="es-CU" sz="1200">
            <a:latin typeface="Times New Roman" panose="02020603050405020304" pitchFamily="18" charset="0"/>
            <a:cs typeface="Times New Roman" panose="02020603050405020304" pitchFamily="18" charset="0"/>
          </a:endParaRPr>
        </a:p>
      </dgm:t>
    </dgm:pt>
    <dgm:pt modelId="{D011EE50-E500-42E7-AB4E-61CD05FDB061}" type="sibTrans" cxnId="{E0D2EC09-7C58-4C42-BC98-FB866C431CF8}">
      <dgm:prSet/>
      <dgm:spPr/>
      <dgm:t>
        <a:bodyPr/>
        <a:lstStyle/>
        <a:p>
          <a:endParaRPr lang="es-CU" sz="1200">
            <a:latin typeface="Times New Roman" panose="02020603050405020304" pitchFamily="18" charset="0"/>
            <a:cs typeface="Times New Roman" panose="02020603050405020304" pitchFamily="18" charset="0"/>
          </a:endParaRPr>
        </a:p>
      </dgm:t>
    </dgm:pt>
    <dgm:pt modelId="{B6CEC816-503E-4712-9091-9F13A1C79333}">
      <dgm:prSet phldrT="[Texto]" custT="1"/>
      <dgm:spPr/>
      <dgm:t>
        <a:bodyPr/>
        <a:lstStyle/>
        <a:p>
          <a:pPr>
            <a:buNone/>
          </a:pPr>
          <a:r>
            <a:rPr lang="es-CU" sz="1200" b="1"/>
            <a:t>Análisis en profundidad</a:t>
          </a:r>
          <a:endParaRPr lang="es-CU" sz="1200">
            <a:latin typeface="Times New Roman" panose="02020603050405020304" pitchFamily="18" charset="0"/>
            <a:cs typeface="Times New Roman" panose="02020603050405020304" pitchFamily="18" charset="0"/>
          </a:endParaRPr>
        </a:p>
      </dgm:t>
    </dgm:pt>
    <dgm:pt modelId="{ADCD5164-1708-4E5A-BE04-C076A4D0ED82}" type="parTrans" cxnId="{A04B0996-5F35-4180-9116-FE5DA3B79DF5}">
      <dgm:prSet/>
      <dgm:spPr/>
      <dgm:t>
        <a:bodyPr/>
        <a:lstStyle/>
        <a:p>
          <a:endParaRPr lang="es-CU" sz="1200">
            <a:latin typeface="Times New Roman" panose="02020603050405020304" pitchFamily="18" charset="0"/>
            <a:cs typeface="Times New Roman" panose="02020603050405020304" pitchFamily="18" charset="0"/>
          </a:endParaRPr>
        </a:p>
      </dgm:t>
    </dgm:pt>
    <dgm:pt modelId="{A342AF59-953F-4887-BC35-54B7A848C472}" type="sibTrans" cxnId="{A04B0996-5F35-4180-9116-FE5DA3B79DF5}">
      <dgm:prSet/>
      <dgm:spPr/>
      <dgm:t>
        <a:bodyPr/>
        <a:lstStyle/>
        <a:p>
          <a:endParaRPr lang="es-CU" sz="1200">
            <a:latin typeface="Times New Roman" panose="02020603050405020304" pitchFamily="18" charset="0"/>
            <a:cs typeface="Times New Roman" panose="02020603050405020304" pitchFamily="18" charset="0"/>
          </a:endParaRPr>
        </a:p>
      </dgm:t>
    </dgm:pt>
    <dgm:pt modelId="{FC7AE888-CCD9-45B1-B795-BEBAC1F2A8DF}">
      <dgm:prSet phldrT="[Texto]" custT="1"/>
      <dgm:spPr/>
      <dgm:t>
        <a:bodyPr/>
        <a:lstStyle/>
        <a:p>
          <a:pPr>
            <a:buNone/>
          </a:pPr>
          <a:r>
            <a:rPr lang="es-CU" sz="1200">
              <a:latin typeface="Times New Roman" panose="02020603050405020304" pitchFamily="18" charset="0"/>
              <a:cs typeface="Times New Roman" panose="02020603050405020304" pitchFamily="18" charset="0"/>
            </a:rPr>
            <a:t>Clasificación temática en 4 ejes</a:t>
          </a:r>
        </a:p>
      </dgm:t>
    </dgm:pt>
    <dgm:pt modelId="{1A4F7EC3-011B-4120-9582-A6ADB57D64E8}" type="parTrans" cxnId="{5A4FF917-6814-452E-9F95-5994ED7A280D}">
      <dgm:prSet/>
      <dgm:spPr/>
      <dgm:t>
        <a:bodyPr/>
        <a:lstStyle/>
        <a:p>
          <a:endParaRPr lang="es-CU" sz="1200">
            <a:latin typeface="Times New Roman" panose="02020603050405020304" pitchFamily="18" charset="0"/>
            <a:cs typeface="Times New Roman" panose="02020603050405020304" pitchFamily="18" charset="0"/>
          </a:endParaRPr>
        </a:p>
      </dgm:t>
    </dgm:pt>
    <dgm:pt modelId="{BAC6DCA6-1CD2-4056-B056-A3E88131F24D}" type="sibTrans" cxnId="{5A4FF917-6814-452E-9F95-5994ED7A280D}">
      <dgm:prSet/>
      <dgm:spPr/>
      <dgm:t>
        <a:bodyPr/>
        <a:lstStyle/>
        <a:p>
          <a:endParaRPr lang="es-CU" sz="1200">
            <a:latin typeface="Times New Roman" panose="02020603050405020304" pitchFamily="18" charset="0"/>
            <a:cs typeface="Times New Roman" panose="02020603050405020304" pitchFamily="18" charset="0"/>
          </a:endParaRPr>
        </a:p>
      </dgm:t>
    </dgm:pt>
    <dgm:pt modelId="{A10B3990-AAE8-4445-9571-817E41DC7197}">
      <dgm:prSet custT="1"/>
      <dgm:spPr/>
      <dgm:t>
        <a:bodyPr/>
        <a:lstStyle/>
        <a:p>
          <a:pPr>
            <a:buNone/>
          </a:pPr>
          <a:r>
            <a:rPr lang="es-CU" sz="1200">
              <a:latin typeface="Times New Roman" panose="02020603050405020304" pitchFamily="18" charset="0"/>
              <a:cs typeface="Times New Roman" panose="02020603050405020304" pitchFamily="18" charset="0"/>
            </a:rPr>
            <a:t>Filtros: artículos en inglés/español (2018-2022)</a:t>
          </a:r>
        </a:p>
      </dgm:t>
    </dgm:pt>
    <dgm:pt modelId="{8C8A349F-B021-4AC7-9308-A0C98DF1D16B}" type="parTrans" cxnId="{2BD7078D-B5EA-4A7E-BFA5-21439A8904B1}">
      <dgm:prSet/>
      <dgm:spPr/>
      <dgm:t>
        <a:bodyPr/>
        <a:lstStyle/>
        <a:p>
          <a:endParaRPr lang="es-CU" sz="1200">
            <a:latin typeface="Times New Roman" panose="02020603050405020304" pitchFamily="18" charset="0"/>
            <a:cs typeface="Times New Roman" panose="02020603050405020304" pitchFamily="18" charset="0"/>
          </a:endParaRPr>
        </a:p>
      </dgm:t>
    </dgm:pt>
    <dgm:pt modelId="{DD77817A-F7A3-4B2B-B0F4-6F76A2D46A03}" type="sibTrans" cxnId="{2BD7078D-B5EA-4A7E-BFA5-21439A8904B1}">
      <dgm:prSet/>
      <dgm:spPr/>
      <dgm:t>
        <a:bodyPr/>
        <a:lstStyle/>
        <a:p>
          <a:endParaRPr lang="es-CU" sz="1200">
            <a:latin typeface="Times New Roman" panose="02020603050405020304" pitchFamily="18" charset="0"/>
            <a:cs typeface="Times New Roman" panose="02020603050405020304" pitchFamily="18" charset="0"/>
          </a:endParaRPr>
        </a:p>
      </dgm:t>
    </dgm:pt>
    <dgm:pt modelId="{F5B07516-1496-4485-A4D7-193CFDBC7170}">
      <dgm:prSet phldrT="[Texto]" custT="1"/>
      <dgm:spPr/>
      <dgm:t>
        <a:bodyPr/>
        <a:lstStyle/>
        <a:p>
          <a:pPr>
            <a:buNone/>
          </a:pPr>
          <a:r>
            <a:rPr lang="es-CU" sz="1200">
              <a:latin typeface="Times New Roman" panose="02020603050405020304" pitchFamily="18" charset="0"/>
              <a:cs typeface="Times New Roman" panose="02020603050405020304" pitchFamily="18" charset="0"/>
            </a:rPr>
            <a:t>Palabras clave: </a:t>
          </a:r>
          <a:r>
            <a:rPr lang="es-CU" sz="1200" i="0">
              <a:latin typeface="Times New Roman" panose="02020603050405020304" pitchFamily="18" charset="0"/>
              <a:cs typeface="Times New Roman" panose="02020603050405020304" pitchFamily="18" charset="0"/>
            </a:rPr>
            <a:t>sesgo algorítmico, ética de la IA, métricas de equidad, regulación de la IA, mitigación del sesgo </a:t>
          </a:r>
          <a:endParaRPr lang="es-CU" sz="1200">
            <a:latin typeface="Times New Roman" panose="02020603050405020304" pitchFamily="18" charset="0"/>
            <a:cs typeface="Times New Roman" panose="02020603050405020304" pitchFamily="18" charset="0"/>
          </a:endParaRPr>
        </a:p>
      </dgm:t>
    </dgm:pt>
    <dgm:pt modelId="{4B357033-B794-47A9-B5F2-CC5C860FF8A7}" type="parTrans" cxnId="{3CAE8A11-A0A3-4A3F-BEA3-064A9E83A82C}">
      <dgm:prSet/>
      <dgm:spPr/>
      <dgm:t>
        <a:bodyPr/>
        <a:lstStyle/>
        <a:p>
          <a:endParaRPr lang="es-CU" sz="1200"/>
        </a:p>
      </dgm:t>
    </dgm:pt>
    <dgm:pt modelId="{B05AB406-2389-45D5-8B1D-66DD02550CF3}" type="sibTrans" cxnId="{3CAE8A11-A0A3-4A3F-BEA3-064A9E83A82C}">
      <dgm:prSet/>
      <dgm:spPr/>
      <dgm:t>
        <a:bodyPr/>
        <a:lstStyle/>
        <a:p>
          <a:endParaRPr lang="es-CU" sz="1200"/>
        </a:p>
      </dgm:t>
    </dgm:pt>
    <dgm:pt modelId="{11A6F387-B6DC-41BD-9C35-72AA9397F750}">
      <dgm:prSet custT="1"/>
      <dgm:spPr/>
      <dgm:t>
        <a:bodyPr/>
        <a:lstStyle/>
        <a:p>
          <a:pPr>
            <a:buSzPts val="1000"/>
            <a:buFont typeface="Courier New" panose="02070309020205020404" pitchFamily="49" charset="0"/>
            <a:buNone/>
          </a:pPr>
          <a:r>
            <a:rPr lang="es-CU" sz="1200">
              <a:latin typeface="Times New Roman" panose="02020603050405020304" pitchFamily="18" charset="0"/>
              <a:cs typeface="Times New Roman" panose="02020603050405020304" pitchFamily="18" charset="0"/>
            </a:rPr>
            <a:t>Evaluación de títulos y resúmenes con criterios de inclusión/exclusión </a:t>
          </a:r>
        </a:p>
      </dgm:t>
    </dgm:pt>
    <dgm:pt modelId="{74AA33F7-FFB5-4116-B3F2-BB416E7EB7F1}" type="parTrans" cxnId="{83CDC58A-8954-47F5-BB18-41141287C113}">
      <dgm:prSet/>
      <dgm:spPr/>
      <dgm:t>
        <a:bodyPr/>
        <a:lstStyle/>
        <a:p>
          <a:endParaRPr lang="es-CU" sz="1200"/>
        </a:p>
      </dgm:t>
    </dgm:pt>
    <dgm:pt modelId="{AEC3FA39-4392-4E68-A7E8-0BA968E804AF}" type="sibTrans" cxnId="{83CDC58A-8954-47F5-BB18-41141287C113}">
      <dgm:prSet/>
      <dgm:spPr/>
      <dgm:t>
        <a:bodyPr/>
        <a:lstStyle/>
        <a:p>
          <a:endParaRPr lang="es-CU" sz="1200"/>
        </a:p>
      </dgm:t>
    </dgm:pt>
    <dgm:pt modelId="{1228024D-54CD-4530-B251-763F32DCCB9C}">
      <dgm:prSet custT="1"/>
      <dgm:spPr/>
      <dgm:t>
        <a:bodyPr/>
        <a:lstStyle/>
        <a:p>
          <a:pPr>
            <a:buNone/>
          </a:pPr>
          <a:r>
            <a:rPr lang="es-CU" sz="1200">
              <a:latin typeface="Times New Roman" panose="02020603050405020304" pitchFamily="18" charset="0"/>
              <a:cs typeface="Times New Roman" panose="02020603050405020304" pitchFamily="18" charset="0"/>
            </a:rPr>
            <a:t>Selección de artículos relevantes</a:t>
          </a:r>
        </a:p>
      </dgm:t>
    </dgm:pt>
    <dgm:pt modelId="{F02D8690-4F60-4FB3-A894-8EAEF0162F42}" type="parTrans" cxnId="{D542B0FA-BCC3-4787-816D-6857076C59FC}">
      <dgm:prSet/>
      <dgm:spPr/>
      <dgm:t>
        <a:bodyPr/>
        <a:lstStyle/>
        <a:p>
          <a:endParaRPr lang="es-CU" sz="1200"/>
        </a:p>
      </dgm:t>
    </dgm:pt>
    <dgm:pt modelId="{CEE36075-510C-4C19-A587-9BF7C05109A0}" type="sibTrans" cxnId="{D542B0FA-BCC3-4787-816D-6857076C59FC}">
      <dgm:prSet/>
      <dgm:spPr/>
      <dgm:t>
        <a:bodyPr/>
        <a:lstStyle/>
        <a:p>
          <a:endParaRPr lang="es-CU" sz="1200"/>
        </a:p>
      </dgm:t>
    </dgm:pt>
    <dgm:pt modelId="{153DE871-9262-483A-8DB5-9C4D35E8BD41}">
      <dgm:prSet custT="1"/>
      <dgm:spPr/>
      <dgm:t>
        <a:bodyPr/>
        <a:lstStyle/>
        <a:p>
          <a:pPr>
            <a:buNone/>
          </a:pPr>
          <a:r>
            <a:rPr lang="es-CU" sz="1200">
              <a:latin typeface="Times New Roman" panose="02020603050405020304" pitchFamily="18" charset="0"/>
              <a:cs typeface="Times New Roman" panose="02020603050405020304" pitchFamily="18" charset="0"/>
            </a:rPr>
            <a:t>Extracción de hallazgos clave mediante análisis de contenido cualitativo</a:t>
          </a:r>
        </a:p>
      </dgm:t>
    </dgm:pt>
    <dgm:pt modelId="{2C6E5042-4199-46B2-829B-BE04452D00F8}" type="parTrans" cxnId="{357138B7-B29D-47B6-8D1D-725894D93BDA}">
      <dgm:prSet/>
      <dgm:spPr/>
      <dgm:t>
        <a:bodyPr/>
        <a:lstStyle/>
        <a:p>
          <a:endParaRPr lang="es-CU" sz="1200"/>
        </a:p>
      </dgm:t>
    </dgm:pt>
    <dgm:pt modelId="{C6EA1388-1F1F-4F6E-8842-A5C6BD231EC0}" type="sibTrans" cxnId="{357138B7-B29D-47B6-8D1D-725894D93BDA}">
      <dgm:prSet/>
      <dgm:spPr/>
      <dgm:t>
        <a:bodyPr/>
        <a:lstStyle/>
        <a:p>
          <a:endParaRPr lang="es-CU" sz="1200"/>
        </a:p>
      </dgm:t>
    </dgm:pt>
    <dgm:pt modelId="{AC03704E-379E-40A2-85EA-D2CE6C804FD3}" type="pres">
      <dgm:prSet presAssocID="{46D3233D-27EA-41EB-9EC4-03D5DA7EEDA9}" presName="linearFlow" presStyleCnt="0">
        <dgm:presLayoutVars>
          <dgm:dir/>
          <dgm:animLvl val="lvl"/>
          <dgm:resizeHandles val="exact"/>
        </dgm:presLayoutVars>
      </dgm:prSet>
      <dgm:spPr/>
    </dgm:pt>
    <dgm:pt modelId="{E71DD8B7-3C6F-47C5-A54A-842220B9D9D2}" type="pres">
      <dgm:prSet presAssocID="{CCE8F925-B8D9-4EC5-9A59-A6B222CCDF71}" presName="composite" presStyleCnt="0"/>
      <dgm:spPr/>
    </dgm:pt>
    <dgm:pt modelId="{D035797A-3AFE-451D-B489-AEA6F727F65E}" type="pres">
      <dgm:prSet presAssocID="{CCE8F925-B8D9-4EC5-9A59-A6B222CCDF71}" presName="parentText" presStyleLbl="alignNode1" presStyleIdx="0" presStyleCnt="3">
        <dgm:presLayoutVars>
          <dgm:chMax val="1"/>
          <dgm:bulletEnabled val="1"/>
        </dgm:presLayoutVars>
      </dgm:prSet>
      <dgm:spPr/>
    </dgm:pt>
    <dgm:pt modelId="{5BB7D04B-F517-4AFC-BC44-8DDCA920F268}" type="pres">
      <dgm:prSet presAssocID="{CCE8F925-B8D9-4EC5-9A59-A6B222CCDF71}" presName="descendantText" presStyleLbl="alignAcc1" presStyleIdx="0" presStyleCnt="3">
        <dgm:presLayoutVars>
          <dgm:bulletEnabled val="1"/>
        </dgm:presLayoutVars>
      </dgm:prSet>
      <dgm:spPr/>
    </dgm:pt>
    <dgm:pt modelId="{D0B21E62-37A8-4200-8BF2-82DE470E1249}" type="pres">
      <dgm:prSet presAssocID="{E56A6B93-7604-453F-A292-44089C38F2D9}" presName="sp" presStyleCnt="0"/>
      <dgm:spPr/>
    </dgm:pt>
    <dgm:pt modelId="{1AC3088A-6E84-46DA-A2A8-37C3F88092E6}" type="pres">
      <dgm:prSet presAssocID="{6DBF78FD-5279-4CB9-9858-5E22CCBC394B}" presName="composite" presStyleCnt="0"/>
      <dgm:spPr/>
    </dgm:pt>
    <dgm:pt modelId="{BCF27914-48A6-4ADC-B0B3-75990F49F87C}" type="pres">
      <dgm:prSet presAssocID="{6DBF78FD-5279-4CB9-9858-5E22CCBC394B}" presName="parentText" presStyleLbl="alignNode1" presStyleIdx="1" presStyleCnt="3">
        <dgm:presLayoutVars>
          <dgm:chMax val="1"/>
          <dgm:bulletEnabled val="1"/>
        </dgm:presLayoutVars>
      </dgm:prSet>
      <dgm:spPr/>
    </dgm:pt>
    <dgm:pt modelId="{89874D1E-21D9-4A14-821A-AEA79BCE26B6}" type="pres">
      <dgm:prSet presAssocID="{6DBF78FD-5279-4CB9-9858-5E22CCBC394B}" presName="descendantText" presStyleLbl="alignAcc1" presStyleIdx="1" presStyleCnt="3">
        <dgm:presLayoutVars>
          <dgm:bulletEnabled val="1"/>
        </dgm:presLayoutVars>
      </dgm:prSet>
      <dgm:spPr/>
    </dgm:pt>
    <dgm:pt modelId="{F784CE85-1FA9-4EE4-B0E2-B762F38FEB54}" type="pres">
      <dgm:prSet presAssocID="{E921F39B-3924-4294-B11B-BAA7DC75B66F}" presName="sp" presStyleCnt="0"/>
      <dgm:spPr/>
    </dgm:pt>
    <dgm:pt modelId="{C9899B70-B2BC-4428-8747-DD4CA96665EF}" type="pres">
      <dgm:prSet presAssocID="{B6CEC816-503E-4712-9091-9F13A1C79333}" presName="composite" presStyleCnt="0"/>
      <dgm:spPr/>
    </dgm:pt>
    <dgm:pt modelId="{68D987CF-6289-4873-A260-6D90858F2276}" type="pres">
      <dgm:prSet presAssocID="{B6CEC816-503E-4712-9091-9F13A1C79333}" presName="parentText" presStyleLbl="alignNode1" presStyleIdx="2" presStyleCnt="3">
        <dgm:presLayoutVars>
          <dgm:chMax val="1"/>
          <dgm:bulletEnabled val="1"/>
        </dgm:presLayoutVars>
      </dgm:prSet>
      <dgm:spPr/>
    </dgm:pt>
    <dgm:pt modelId="{AC482580-B4C0-4FCF-8DB9-E0FC75DD5266}" type="pres">
      <dgm:prSet presAssocID="{B6CEC816-503E-4712-9091-9F13A1C79333}" presName="descendantText" presStyleLbl="alignAcc1" presStyleIdx="2" presStyleCnt="3">
        <dgm:presLayoutVars>
          <dgm:bulletEnabled val="1"/>
        </dgm:presLayoutVars>
      </dgm:prSet>
      <dgm:spPr/>
    </dgm:pt>
  </dgm:ptLst>
  <dgm:cxnLst>
    <dgm:cxn modelId="{E0D2EC09-7C58-4C42-BC98-FB866C431CF8}" srcId="{6DBF78FD-5279-4CB9-9858-5E22CCBC394B}" destId="{1793CDA8-5803-4E03-A271-70F753DD2952}" srcOrd="0" destOrd="0" parTransId="{CE3BC883-0A24-403E-8B58-1DE0D4DDA3F7}" sibTransId="{D011EE50-E500-42E7-AB4E-61CD05FDB061}"/>
    <dgm:cxn modelId="{3CAE8A11-A0A3-4A3F-BEA3-064A9E83A82C}" srcId="{CCE8F925-B8D9-4EC5-9A59-A6B222CCDF71}" destId="{F5B07516-1496-4485-A4D7-193CFDBC7170}" srcOrd="1" destOrd="0" parTransId="{4B357033-B794-47A9-B5F2-CC5C860FF8A7}" sibTransId="{B05AB406-2389-45D5-8B1D-66DD02550CF3}"/>
    <dgm:cxn modelId="{5A4FF917-6814-452E-9F95-5994ED7A280D}" srcId="{B6CEC816-503E-4712-9091-9F13A1C79333}" destId="{FC7AE888-CCD9-45B1-B795-BEBAC1F2A8DF}" srcOrd="0" destOrd="0" parTransId="{1A4F7EC3-011B-4120-9582-A6ADB57D64E8}" sibTransId="{BAC6DCA6-1CD2-4056-B056-A3E88131F24D}"/>
    <dgm:cxn modelId="{C083692E-3DA1-49AD-83EB-43F67F4C5BBB}" type="presOf" srcId="{6DBF78FD-5279-4CB9-9858-5E22CCBC394B}" destId="{BCF27914-48A6-4ADC-B0B3-75990F49F87C}" srcOrd="0" destOrd="0" presId="urn:microsoft.com/office/officeart/2005/8/layout/chevron2"/>
    <dgm:cxn modelId="{198C4030-4AD4-4AEB-B938-7A93282B93F2}" type="presOf" srcId="{11A6F387-B6DC-41BD-9C35-72AA9397F750}" destId="{89874D1E-21D9-4A14-821A-AEA79BCE26B6}" srcOrd="0" destOrd="1" presId="urn:microsoft.com/office/officeart/2005/8/layout/chevron2"/>
    <dgm:cxn modelId="{02F6763A-2EB7-4100-BED8-14FA1E083D97}" type="presOf" srcId="{153DE871-9262-483A-8DB5-9C4D35E8BD41}" destId="{AC482580-B4C0-4FCF-8DB9-E0FC75DD5266}" srcOrd="0" destOrd="1" presId="urn:microsoft.com/office/officeart/2005/8/layout/chevron2"/>
    <dgm:cxn modelId="{0685FE40-8468-42DA-9029-0BCB40C61AB1}" srcId="{46D3233D-27EA-41EB-9EC4-03D5DA7EEDA9}" destId="{6DBF78FD-5279-4CB9-9858-5E22CCBC394B}" srcOrd="1" destOrd="0" parTransId="{6687F7A0-63BF-4019-BDB2-C0EB05F1FD3D}" sibTransId="{E921F39B-3924-4294-B11B-BAA7DC75B66F}"/>
    <dgm:cxn modelId="{C4D67C6A-70B1-4D2B-94C9-0F1F857C2A9F}" type="presOf" srcId="{1793CDA8-5803-4E03-A271-70F753DD2952}" destId="{89874D1E-21D9-4A14-821A-AEA79BCE26B6}" srcOrd="0" destOrd="0" presId="urn:microsoft.com/office/officeart/2005/8/layout/chevron2"/>
    <dgm:cxn modelId="{311D5E6B-E7BF-4D21-AB22-0FA75E247186}" type="presOf" srcId="{CCE8F925-B8D9-4EC5-9A59-A6B222CCDF71}" destId="{D035797A-3AFE-451D-B489-AEA6F727F65E}" srcOrd="0" destOrd="0" presId="urn:microsoft.com/office/officeart/2005/8/layout/chevron2"/>
    <dgm:cxn modelId="{AB5E8374-93C5-41FF-815F-406029D9D8CE}" type="presOf" srcId="{1228024D-54CD-4530-B251-763F32DCCB9C}" destId="{89874D1E-21D9-4A14-821A-AEA79BCE26B6}" srcOrd="0" destOrd="2" presId="urn:microsoft.com/office/officeart/2005/8/layout/chevron2"/>
    <dgm:cxn modelId="{73AE0C7C-F574-4E9D-950F-3CBE5FF0D87B}" type="presOf" srcId="{46D3233D-27EA-41EB-9EC4-03D5DA7EEDA9}" destId="{AC03704E-379E-40A2-85EA-D2CE6C804FD3}" srcOrd="0" destOrd="0" presId="urn:microsoft.com/office/officeart/2005/8/layout/chevron2"/>
    <dgm:cxn modelId="{83CDC58A-8954-47F5-BB18-41141287C113}" srcId="{6DBF78FD-5279-4CB9-9858-5E22CCBC394B}" destId="{11A6F387-B6DC-41BD-9C35-72AA9397F750}" srcOrd="1" destOrd="0" parTransId="{74AA33F7-FFB5-4116-B3F2-BB416E7EB7F1}" sibTransId="{AEC3FA39-4392-4E68-A7E8-0BA968E804AF}"/>
    <dgm:cxn modelId="{2BD7078D-B5EA-4A7E-BFA5-21439A8904B1}" srcId="{CCE8F925-B8D9-4EC5-9A59-A6B222CCDF71}" destId="{A10B3990-AAE8-4445-9571-817E41DC7197}" srcOrd="2" destOrd="0" parTransId="{8C8A349F-B021-4AC7-9308-A0C98DF1D16B}" sibTransId="{DD77817A-F7A3-4B2B-B0F4-6F76A2D46A03}"/>
    <dgm:cxn modelId="{A04B0996-5F35-4180-9116-FE5DA3B79DF5}" srcId="{46D3233D-27EA-41EB-9EC4-03D5DA7EEDA9}" destId="{B6CEC816-503E-4712-9091-9F13A1C79333}" srcOrd="2" destOrd="0" parTransId="{ADCD5164-1708-4E5A-BE04-C076A4D0ED82}" sibTransId="{A342AF59-953F-4887-BC35-54B7A848C472}"/>
    <dgm:cxn modelId="{33EAC59D-74FD-45E1-9FC5-9780CDDE2953}" type="presOf" srcId="{A10B3990-AAE8-4445-9571-817E41DC7197}" destId="{5BB7D04B-F517-4AFC-BC44-8DDCA920F268}" srcOrd="0" destOrd="2" presId="urn:microsoft.com/office/officeart/2005/8/layout/chevron2"/>
    <dgm:cxn modelId="{1F2F70B0-BDE9-424E-8D2B-E86474FED780}" type="presOf" srcId="{FC7AE888-CCD9-45B1-B795-BEBAC1F2A8DF}" destId="{AC482580-B4C0-4FCF-8DB9-E0FC75DD5266}" srcOrd="0" destOrd="0" presId="urn:microsoft.com/office/officeart/2005/8/layout/chevron2"/>
    <dgm:cxn modelId="{357138B7-B29D-47B6-8D1D-725894D93BDA}" srcId="{B6CEC816-503E-4712-9091-9F13A1C79333}" destId="{153DE871-9262-483A-8DB5-9C4D35E8BD41}" srcOrd="1" destOrd="0" parTransId="{2C6E5042-4199-46B2-829B-BE04452D00F8}" sibTransId="{C6EA1388-1F1F-4F6E-8842-A5C6BD231EC0}"/>
    <dgm:cxn modelId="{B1D3F1B8-8EF4-4299-B3B3-2DAD024805DC}" type="presOf" srcId="{322F3C51-D9A8-4271-86F7-5E9CF4D8A11E}" destId="{5BB7D04B-F517-4AFC-BC44-8DDCA920F268}" srcOrd="0" destOrd="0" presId="urn:microsoft.com/office/officeart/2005/8/layout/chevron2"/>
    <dgm:cxn modelId="{B9C503BD-0B06-4BF3-AD9D-862F8ACE6544}" type="presOf" srcId="{B6CEC816-503E-4712-9091-9F13A1C79333}" destId="{68D987CF-6289-4873-A260-6D90858F2276}" srcOrd="0" destOrd="0" presId="urn:microsoft.com/office/officeart/2005/8/layout/chevron2"/>
    <dgm:cxn modelId="{D8411CD6-89C2-40AB-96C1-BBC0AC43BC37}" srcId="{CCE8F925-B8D9-4EC5-9A59-A6B222CCDF71}" destId="{322F3C51-D9A8-4271-86F7-5E9CF4D8A11E}" srcOrd="0" destOrd="0" parTransId="{91E6EA5B-3A1B-4A6E-AE06-90B9E39F6444}" sibTransId="{7FF0313B-B04D-4B12-A4B5-6794939FDA6B}"/>
    <dgm:cxn modelId="{AC1262EC-9197-4DFB-AE7E-89E1AA353324}" type="presOf" srcId="{F5B07516-1496-4485-A4D7-193CFDBC7170}" destId="{5BB7D04B-F517-4AFC-BC44-8DDCA920F268}" srcOrd="0" destOrd="1" presId="urn:microsoft.com/office/officeart/2005/8/layout/chevron2"/>
    <dgm:cxn modelId="{845996ED-B531-4DD4-A51F-8EF02281EC98}" srcId="{46D3233D-27EA-41EB-9EC4-03D5DA7EEDA9}" destId="{CCE8F925-B8D9-4EC5-9A59-A6B222CCDF71}" srcOrd="0" destOrd="0" parTransId="{5A6C824B-B594-4BAB-BA6D-AF0FDD8902A6}" sibTransId="{E56A6B93-7604-453F-A292-44089C38F2D9}"/>
    <dgm:cxn modelId="{D542B0FA-BCC3-4787-816D-6857076C59FC}" srcId="{6DBF78FD-5279-4CB9-9858-5E22CCBC394B}" destId="{1228024D-54CD-4530-B251-763F32DCCB9C}" srcOrd="2" destOrd="0" parTransId="{F02D8690-4F60-4FB3-A894-8EAEF0162F42}" sibTransId="{CEE36075-510C-4C19-A587-9BF7C05109A0}"/>
    <dgm:cxn modelId="{27B6FEF4-B0D9-426D-83BB-AD987100F8FD}" type="presParOf" srcId="{AC03704E-379E-40A2-85EA-D2CE6C804FD3}" destId="{E71DD8B7-3C6F-47C5-A54A-842220B9D9D2}" srcOrd="0" destOrd="0" presId="urn:microsoft.com/office/officeart/2005/8/layout/chevron2"/>
    <dgm:cxn modelId="{093DA913-9AE9-4744-BCC8-5541FB62B653}" type="presParOf" srcId="{E71DD8B7-3C6F-47C5-A54A-842220B9D9D2}" destId="{D035797A-3AFE-451D-B489-AEA6F727F65E}" srcOrd="0" destOrd="0" presId="urn:microsoft.com/office/officeart/2005/8/layout/chevron2"/>
    <dgm:cxn modelId="{E762B81F-1C3A-4DF1-A28B-D8F7F1C90F4C}" type="presParOf" srcId="{E71DD8B7-3C6F-47C5-A54A-842220B9D9D2}" destId="{5BB7D04B-F517-4AFC-BC44-8DDCA920F268}" srcOrd="1" destOrd="0" presId="urn:microsoft.com/office/officeart/2005/8/layout/chevron2"/>
    <dgm:cxn modelId="{F78177F2-85BF-4CD0-9FD3-16CD7A56010D}" type="presParOf" srcId="{AC03704E-379E-40A2-85EA-D2CE6C804FD3}" destId="{D0B21E62-37A8-4200-8BF2-82DE470E1249}" srcOrd="1" destOrd="0" presId="urn:microsoft.com/office/officeart/2005/8/layout/chevron2"/>
    <dgm:cxn modelId="{26EB2A94-DD5B-4F9E-88F1-77941A4D4A02}" type="presParOf" srcId="{AC03704E-379E-40A2-85EA-D2CE6C804FD3}" destId="{1AC3088A-6E84-46DA-A2A8-37C3F88092E6}" srcOrd="2" destOrd="0" presId="urn:microsoft.com/office/officeart/2005/8/layout/chevron2"/>
    <dgm:cxn modelId="{73219A49-6633-4CA9-835E-212445DBEB32}" type="presParOf" srcId="{1AC3088A-6E84-46DA-A2A8-37C3F88092E6}" destId="{BCF27914-48A6-4ADC-B0B3-75990F49F87C}" srcOrd="0" destOrd="0" presId="urn:microsoft.com/office/officeart/2005/8/layout/chevron2"/>
    <dgm:cxn modelId="{FDF0E6A1-11CC-42C5-9FDB-716A35E6375F}" type="presParOf" srcId="{1AC3088A-6E84-46DA-A2A8-37C3F88092E6}" destId="{89874D1E-21D9-4A14-821A-AEA79BCE26B6}" srcOrd="1" destOrd="0" presId="urn:microsoft.com/office/officeart/2005/8/layout/chevron2"/>
    <dgm:cxn modelId="{F5883E3C-2741-4A8F-B8AE-EAA8DADD9E11}" type="presParOf" srcId="{AC03704E-379E-40A2-85EA-D2CE6C804FD3}" destId="{F784CE85-1FA9-4EE4-B0E2-B762F38FEB54}" srcOrd="3" destOrd="0" presId="urn:microsoft.com/office/officeart/2005/8/layout/chevron2"/>
    <dgm:cxn modelId="{20CFE308-E783-43F2-9C17-6C412FB82226}" type="presParOf" srcId="{AC03704E-379E-40A2-85EA-D2CE6C804FD3}" destId="{C9899B70-B2BC-4428-8747-DD4CA96665EF}" srcOrd="4" destOrd="0" presId="urn:microsoft.com/office/officeart/2005/8/layout/chevron2"/>
    <dgm:cxn modelId="{A90A428C-FDC4-419E-8890-6987DBEB4AE9}" type="presParOf" srcId="{C9899B70-B2BC-4428-8747-DD4CA96665EF}" destId="{68D987CF-6289-4873-A260-6D90858F2276}" srcOrd="0" destOrd="0" presId="urn:microsoft.com/office/officeart/2005/8/layout/chevron2"/>
    <dgm:cxn modelId="{43FEC166-6169-4757-8C57-B9D77AC3A225}" type="presParOf" srcId="{C9899B70-B2BC-4428-8747-DD4CA96665EF}" destId="{AC482580-B4C0-4FCF-8DB9-E0FC75DD5266}"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12B0C1-AD59-4C9C-B8BF-C04F0D3CAC7B}" type="doc">
      <dgm:prSet loTypeId="urn:microsoft.com/office/officeart/2009/layout/CircleArrowProcess" loCatId="cycle" qsTypeId="urn:microsoft.com/office/officeart/2005/8/quickstyle/simple1" qsCatId="simple" csTypeId="urn:microsoft.com/office/officeart/2005/8/colors/accent1_2" csCatId="accent1" phldr="1"/>
      <dgm:spPr/>
      <dgm:t>
        <a:bodyPr/>
        <a:lstStyle/>
        <a:p>
          <a:endParaRPr lang="es-CU"/>
        </a:p>
      </dgm:t>
    </dgm:pt>
    <dgm:pt modelId="{F9CFA8B6-7989-4C13-8823-3B81F8DEBF3D}">
      <dgm:prSet phldrT="[Texto]" custT="1"/>
      <dgm:spPr/>
      <dgm:t>
        <a:bodyPr/>
        <a:lstStyle/>
        <a:p>
          <a:r>
            <a:rPr lang="es-CU" sz="1200">
              <a:latin typeface="Times New Roman" panose="02020603050405020304" pitchFamily="18" charset="0"/>
              <a:cs typeface="Times New Roman" panose="02020603050405020304" pitchFamily="18" charset="0"/>
            </a:rPr>
            <a:t>estadísticas</a:t>
          </a:r>
        </a:p>
      </dgm:t>
    </dgm:pt>
    <dgm:pt modelId="{99B5D80E-8E34-4436-881B-56938333E68C}" type="parTrans" cxnId="{5FA53F3E-EE78-4490-B230-889B234CAAAC}">
      <dgm:prSet/>
      <dgm:spPr/>
      <dgm:t>
        <a:bodyPr/>
        <a:lstStyle/>
        <a:p>
          <a:endParaRPr lang="es-CU" sz="1200">
            <a:latin typeface="Times New Roman" panose="02020603050405020304" pitchFamily="18" charset="0"/>
            <a:cs typeface="Times New Roman" panose="02020603050405020304" pitchFamily="18" charset="0"/>
          </a:endParaRPr>
        </a:p>
      </dgm:t>
    </dgm:pt>
    <dgm:pt modelId="{639EBFF4-4CC0-4F0C-80C9-D76EDB5B25FF}" type="sibTrans" cxnId="{5FA53F3E-EE78-4490-B230-889B234CAAAC}">
      <dgm:prSet/>
      <dgm:spPr/>
      <dgm:t>
        <a:bodyPr/>
        <a:lstStyle/>
        <a:p>
          <a:endParaRPr lang="es-CU" sz="1200">
            <a:latin typeface="Times New Roman" panose="02020603050405020304" pitchFamily="18" charset="0"/>
            <a:cs typeface="Times New Roman" panose="02020603050405020304" pitchFamily="18" charset="0"/>
          </a:endParaRPr>
        </a:p>
      </dgm:t>
    </dgm:pt>
    <dgm:pt modelId="{A75D4139-E37A-4771-8C7C-AFCCB60B0BDC}">
      <dgm:prSet phldrT="[Texto]" custT="1"/>
      <dgm:spPr/>
      <dgm:t>
        <a:bodyPr/>
        <a:lstStyle/>
        <a:p>
          <a:r>
            <a:rPr lang="es-CU" sz="1200">
              <a:latin typeface="Times New Roman" panose="02020603050405020304" pitchFamily="18" charset="0"/>
              <a:cs typeface="Times New Roman" panose="02020603050405020304" pitchFamily="18" charset="0"/>
            </a:rPr>
            <a:t>basadas en modelos</a:t>
          </a:r>
        </a:p>
      </dgm:t>
    </dgm:pt>
    <dgm:pt modelId="{4D4C5295-59DC-46A1-88CB-11DF98E05D3F}" type="parTrans" cxnId="{BCA58BA2-110E-48F2-8308-9A19B2D8946C}">
      <dgm:prSet/>
      <dgm:spPr/>
      <dgm:t>
        <a:bodyPr/>
        <a:lstStyle/>
        <a:p>
          <a:endParaRPr lang="es-CU" sz="1200">
            <a:latin typeface="Times New Roman" panose="02020603050405020304" pitchFamily="18" charset="0"/>
            <a:cs typeface="Times New Roman" panose="02020603050405020304" pitchFamily="18" charset="0"/>
          </a:endParaRPr>
        </a:p>
      </dgm:t>
    </dgm:pt>
    <dgm:pt modelId="{B2CE2C53-2BF4-41A2-9E54-DECACE9F9107}" type="sibTrans" cxnId="{BCA58BA2-110E-48F2-8308-9A19B2D8946C}">
      <dgm:prSet/>
      <dgm:spPr/>
      <dgm:t>
        <a:bodyPr/>
        <a:lstStyle/>
        <a:p>
          <a:endParaRPr lang="es-CU" sz="1200">
            <a:latin typeface="Times New Roman" panose="02020603050405020304" pitchFamily="18" charset="0"/>
            <a:cs typeface="Times New Roman" panose="02020603050405020304" pitchFamily="18" charset="0"/>
          </a:endParaRPr>
        </a:p>
      </dgm:t>
    </dgm:pt>
    <dgm:pt modelId="{9FFD01B7-0094-4284-95EE-17AA83147D3B}">
      <dgm:prSet phldrT="[Texto]" custT="1"/>
      <dgm:spPr/>
      <dgm:t>
        <a:bodyPr/>
        <a:lstStyle/>
        <a:p>
          <a:r>
            <a:rPr lang="es-CU" sz="1200">
              <a:latin typeface="Times New Roman" panose="02020603050405020304" pitchFamily="18" charset="0"/>
              <a:cs typeface="Times New Roman" panose="02020603050405020304" pitchFamily="18" charset="0"/>
            </a:rPr>
            <a:t>centradas en datos</a:t>
          </a:r>
        </a:p>
      </dgm:t>
    </dgm:pt>
    <dgm:pt modelId="{2C6517A6-DA1F-4205-9BB3-DC53B50DD349}" type="parTrans" cxnId="{1A5A977D-7C81-4FE2-B21C-F16D36EE4773}">
      <dgm:prSet/>
      <dgm:spPr/>
      <dgm:t>
        <a:bodyPr/>
        <a:lstStyle/>
        <a:p>
          <a:endParaRPr lang="es-CU" sz="1200">
            <a:latin typeface="Times New Roman" panose="02020603050405020304" pitchFamily="18" charset="0"/>
            <a:cs typeface="Times New Roman" panose="02020603050405020304" pitchFamily="18" charset="0"/>
          </a:endParaRPr>
        </a:p>
      </dgm:t>
    </dgm:pt>
    <dgm:pt modelId="{B9973746-00FE-4462-8191-CF1F8ED38CF8}" type="sibTrans" cxnId="{1A5A977D-7C81-4FE2-B21C-F16D36EE4773}">
      <dgm:prSet/>
      <dgm:spPr/>
      <dgm:t>
        <a:bodyPr/>
        <a:lstStyle/>
        <a:p>
          <a:endParaRPr lang="es-CU" sz="1200">
            <a:latin typeface="Times New Roman" panose="02020603050405020304" pitchFamily="18" charset="0"/>
            <a:cs typeface="Times New Roman" panose="02020603050405020304" pitchFamily="18" charset="0"/>
          </a:endParaRPr>
        </a:p>
      </dgm:t>
    </dgm:pt>
    <dgm:pt modelId="{D50F6670-80DE-4AEA-81D5-E11A004E9262}" type="pres">
      <dgm:prSet presAssocID="{B212B0C1-AD59-4C9C-B8BF-C04F0D3CAC7B}" presName="Name0" presStyleCnt="0">
        <dgm:presLayoutVars>
          <dgm:chMax val="7"/>
          <dgm:chPref val="7"/>
          <dgm:dir/>
          <dgm:animLvl val="lvl"/>
        </dgm:presLayoutVars>
      </dgm:prSet>
      <dgm:spPr/>
    </dgm:pt>
    <dgm:pt modelId="{1CDEE2E5-3FE1-4C9F-89D9-54EC4298A1FB}" type="pres">
      <dgm:prSet presAssocID="{F9CFA8B6-7989-4C13-8823-3B81F8DEBF3D}" presName="Accent1" presStyleCnt="0"/>
      <dgm:spPr/>
    </dgm:pt>
    <dgm:pt modelId="{CF6041CD-0B42-45E5-A64C-520795F4E412}" type="pres">
      <dgm:prSet presAssocID="{F9CFA8B6-7989-4C13-8823-3B81F8DEBF3D}" presName="Accent" presStyleLbl="node1" presStyleIdx="0" presStyleCnt="3"/>
      <dgm:spPr/>
    </dgm:pt>
    <dgm:pt modelId="{80C394D1-478B-4731-90DF-0A611A0B6E2E}" type="pres">
      <dgm:prSet presAssocID="{F9CFA8B6-7989-4C13-8823-3B81F8DEBF3D}" presName="Parent1" presStyleLbl="revTx" presStyleIdx="0" presStyleCnt="3">
        <dgm:presLayoutVars>
          <dgm:chMax val="1"/>
          <dgm:chPref val="1"/>
          <dgm:bulletEnabled val="1"/>
        </dgm:presLayoutVars>
      </dgm:prSet>
      <dgm:spPr/>
    </dgm:pt>
    <dgm:pt modelId="{2F477247-7422-46E7-A596-648BA24BF049}" type="pres">
      <dgm:prSet presAssocID="{A75D4139-E37A-4771-8C7C-AFCCB60B0BDC}" presName="Accent2" presStyleCnt="0"/>
      <dgm:spPr/>
    </dgm:pt>
    <dgm:pt modelId="{DA72327F-489C-477E-9A89-5AF67638F704}" type="pres">
      <dgm:prSet presAssocID="{A75D4139-E37A-4771-8C7C-AFCCB60B0BDC}" presName="Accent" presStyleLbl="node1" presStyleIdx="1" presStyleCnt="3"/>
      <dgm:spPr/>
    </dgm:pt>
    <dgm:pt modelId="{89250D9F-1D76-407E-B86E-C83EDADCEFAF}" type="pres">
      <dgm:prSet presAssocID="{A75D4139-E37A-4771-8C7C-AFCCB60B0BDC}" presName="Parent2" presStyleLbl="revTx" presStyleIdx="1" presStyleCnt="3">
        <dgm:presLayoutVars>
          <dgm:chMax val="1"/>
          <dgm:chPref val="1"/>
          <dgm:bulletEnabled val="1"/>
        </dgm:presLayoutVars>
      </dgm:prSet>
      <dgm:spPr/>
    </dgm:pt>
    <dgm:pt modelId="{C4EA2B85-B76E-462C-9ADD-2FDAD92901DF}" type="pres">
      <dgm:prSet presAssocID="{9FFD01B7-0094-4284-95EE-17AA83147D3B}" presName="Accent3" presStyleCnt="0"/>
      <dgm:spPr/>
    </dgm:pt>
    <dgm:pt modelId="{655BCF71-7C37-4957-B456-D0402135E38F}" type="pres">
      <dgm:prSet presAssocID="{9FFD01B7-0094-4284-95EE-17AA83147D3B}" presName="Accent" presStyleLbl="node1" presStyleIdx="2" presStyleCnt="3"/>
      <dgm:spPr/>
    </dgm:pt>
    <dgm:pt modelId="{5A5203EB-7E45-44B9-BD76-FA4F3B92873A}" type="pres">
      <dgm:prSet presAssocID="{9FFD01B7-0094-4284-95EE-17AA83147D3B}" presName="Parent3" presStyleLbl="revTx" presStyleIdx="2" presStyleCnt="3">
        <dgm:presLayoutVars>
          <dgm:chMax val="1"/>
          <dgm:chPref val="1"/>
          <dgm:bulletEnabled val="1"/>
        </dgm:presLayoutVars>
      </dgm:prSet>
      <dgm:spPr/>
    </dgm:pt>
  </dgm:ptLst>
  <dgm:cxnLst>
    <dgm:cxn modelId="{DDB51130-0020-4FEE-92C8-8E4E6F83F50B}" type="presOf" srcId="{F9CFA8B6-7989-4C13-8823-3B81F8DEBF3D}" destId="{80C394D1-478B-4731-90DF-0A611A0B6E2E}" srcOrd="0" destOrd="0" presId="urn:microsoft.com/office/officeart/2009/layout/CircleArrowProcess"/>
    <dgm:cxn modelId="{5FA53F3E-EE78-4490-B230-889B234CAAAC}" srcId="{B212B0C1-AD59-4C9C-B8BF-C04F0D3CAC7B}" destId="{F9CFA8B6-7989-4C13-8823-3B81F8DEBF3D}" srcOrd="0" destOrd="0" parTransId="{99B5D80E-8E34-4436-881B-56938333E68C}" sibTransId="{639EBFF4-4CC0-4F0C-80C9-D76EDB5B25FF}"/>
    <dgm:cxn modelId="{99DCA14B-BC07-4FF4-B711-FCB6E8172041}" type="presOf" srcId="{A75D4139-E37A-4771-8C7C-AFCCB60B0BDC}" destId="{89250D9F-1D76-407E-B86E-C83EDADCEFAF}" srcOrd="0" destOrd="0" presId="urn:microsoft.com/office/officeart/2009/layout/CircleArrowProcess"/>
    <dgm:cxn modelId="{6E0B836C-5E79-41A8-85E3-544817788928}" type="presOf" srcId="{9FFD01B7-0094-4284-95EE-17AA83147D3B}" destId="{5A5203EB-7E45-44B9-BD76-FA4F3B92873A}" srcOrd="0" destOrd="0" presId="urn:microsoft.com/office/officeart/2009/layout/CircleArrowProcess"/>
    <dgm:cxn modelId="{1A5A977D-7C81-4FE2-B21C-F16D36EE4773}" srcId="{B212B0C1-AD59-4C9C-B8BF-C04F0D3CAC7B}" destId="{9FFD01B7-0094-4284-95EE-17AA83147D3B}" srcOrd="2" destOrd="0" parTransId="{2C6517A6-DA1F-4205-9BB3-DC53B50DD349}" sibTransId="{B9973746-00FE-4462-8191-CF1F8ED38CF8}"/>
    <dgm:cxn modelId="{BCA58BA2-110E-48F2-8308-9A19B2D8946C}" srcId="{B212B0C1-AD59-4C9C-B8BF-C04F0D3CAC7B}" destId="{A75D4139-E37A-4771-8C7C-AFCCB60B0BDC}" srcOrd="1" destOrd="0" parTransId="{4D4C5295-59DC-46A1-88CB-11DF98E05D3F}" sibTransId="{B2CE2C53-2BF4-41A2-9E54-DECACE9F9107}"/>
    <dgm:cxn modelId="{BB40FBDD-34AE-41A9-BFBE-5E261AC3D0A5}" type="presOf" srcId="{B212B0C1-AD59-4C9C-B8BF-C04F0D3CAC7B}" destId="{D50F6670-80DE-4AEA-81D5-E11A004E9262}" srcOrd="0" destOrd="0" presId="urn:microsoft.com/office/officeart/2009/layout/CircleArrowProcess"/>
    <dgm:cxn modelId="{34F2F03A-4855-4696-9DAC-43618DF8BAFB}" type="presParOf" srcId="{D50F6670-80DE-4AEA-81D5-E11A004E9262}" destId="{1CDEE2E5-3FE1-4C9F-89D9-54EC4298A1FB}" srcOrd="0" destOrd="0" presId="urn:microsoft.com/office/officeart/2009/layout/CircleArrowProcess"/>
    <dgm:cxn modelId="{107A511F-6A20-4AE7-92F4-6939F36C70B4}" type="presParOf" srcId="{1CDEE2E5-3FE1-4C9F-89D9-54EC4298A1FB}" destId="{CF6041CD-0B42-45E5-A64C-520795F4E412}" srcOrd="0" destOrd="0" presId="urn:microsoft.com/office/officeart/2009/layout/CircleArrowProcess"/>
    <dgm:cxn modelId="{D2BC6385-2C96-4AA6-ABC6-4FDAA72A5530}" type="presParOf" srcId="{D50F6670-80DE-4AEA-81D5-E11A004E9262}" destId="{80C394D1-478B-4731-90DF-0A611A0B6E2E}" srcOrd="1" destOrd="0" presId="urn:microsoft.com/office/officeart/2009/layout/CircleArrowProcess"/>
    <dgm:cxn modelId="{B554961A-5866-4446-BB80-28E3F13480A1}" type="presParOf" srcId="{D50F6670-80DE-4AEA-81D5-E11A004E9262}" destId="{2F477247-7422-46E7-A596-648BA24BF049}" srcOrd="2" destOrd="0" presId="urn:microsoft.com/office/officeart/2009/layout/CircleArrowProcess"/>
    <dgm:cxn modelId="{C5D4E87F-9C6A-49C4-8F84-2122094EEF18}" type="presParOf" srcId="{2F477247-7422-46E7-A596-648BA24BF049}" destId="{DA72327F-489C-477E-9A89-5AF67638F704}" srcOrd="0" destOrd="0" presId="urn:microsoft.com/office/officeart/2009/layout/CircleArrowProcess"/>
    <dgm:cxn modelId="{7ABE46E8-C2B2-4CD3-B9F2-8F77B53905E9}" type="presParOf" srcId="{D50F6670-80DE-4AEA-81D5-E11A004E9262}" destId="{89250D9F-1D76-407E-B86E-C83EDADCEFAF}" srcOrd="3" destOrd="0" presId="urn:microsoft.com/office/officeart/2009/layout/CircleArrowProcess"/>
    <dgm:cxn modelId="{1E979222-5D71-4AF6-8F09-278F7BDF13E2}" type="presParOf" srcId="{D50F6670-80DE-4AEA-81D5-E11A004E9262}" destId="{C4EA2B85-B76E-462C-9ADD-2FDAD92901DF}" srcOrd="4" destOrd="0" presId="urn:microsoft.com/office/officeart/2009/layout/CircleArrowProcess"/>
    <dgm:cxn modelId="{775C2D48-DAD1-4FA6-9D97-B012AE2A0E65}" type="presParOf" srcId="{C4EA2B85-B76E-462C-9ADD-2FDAD92901DF}" destId="{655BCF71-7C37-4957-B456-D0402135E38F}" srcOrd="0" destOrd="0" presId="urn:microsoft.com/office/officeart/2009/layout/CircleArrowProcess"/>
    <dgm:cxn modelId="{6DCAD1E1-8229-45C0-B71C-318CF1591A21}" type="presParOf" srcId="{D50F6670-80DE-4AEA-81D5-E11A004E9262}" destId="{5A5203EB-7E45-44B9-BD76-FA4F3B92873A}" srcOrd="5" destOrd="0" presId="urn:microsoft.com/office/officeart/2009/layout/CircleArrow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35797A-3AFE-451D-B489-AEA6F727F65E}">
      <dsp:nvSpPr>
        <dsp:cNvPr id="0" name=""/>
        <dsp:cNvSpPr/>
      </dsp:nvSpPr>
      <dsp:spPr>
        <a:xfrm rot="5400000">
          <a:off x="-210690" y="214809"/>
          <a:ext cx="1404606" cy="98322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U" sz="1200" b="1" kern="1200">
              <a:latin typeface="Times New Roman" panose="02020603050405020304" pitchFamily="18" charset="0"/>
              <a:cs typeface="Times New Roman" panose="02020603050405020304" pitchFamily="18" charset="0"/>
            </a:rPr>
            <a:t>Definición de criterios de búsqueda</a:t>
          </a:r>
          <a:endParaRPr lang="es-CU" sz="1200" kern="1200">
            <a:latin typeface="Times New Roman" panose="02020603050405020304" pitchFamily="18" charset="0"/>
            <a:cs typeface="Times New Roman" panose="02020603050405020304" pitchFamily="18" charset="0"/>
          </a:endParaRPr>
        </a:p>
      </dsp:txBody>
      <dsp:txXfrm rot="-5400000">
        <a:off x="1" y="495730"/>
        <a:ext cx="983224" cy="421382"/>
      </dsp:txXfrm>
    </dsp:sp>
    <dsp:sp modelId="{5BB7D04B-F517-4AFC-BC44-8DDCA920F268}">
      <dsp:nvSpPr>
        <dsp:cNvPr id="0" name=""/>
        <dsp:cNvSpPr/>
      </dsp:nvSpPr>
      <dsp:spPr>
        <a:xfrm rot="5400000">
          <a:off x="2831415" y="-1844072"/>
          <a:ext cx="913474" cy="460985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None/>
          </a:pPr>
          <a:r>
            <a:rPr lang="es-CU" sz="1200" kern="1200">
              <a:latin typeface="Times New Roman" panose="02020603050405020304" pitchFamily="18" charset="0"/>
              <a:cs typeface="Times New Roman" panose="02020603050405020304" pitchFamily="18" charset="0"/>
            </a:rPr>
            <a:t>Bases de datos: Scopus y Web of Science</a:t>
          </a:r>
        </a:p>
        <a:p>
          <a:pPr marL="114300" lvl="1" indent="-114300" algn="l" defTabSz="533400">
            <a:lnSpc>
              <a:spcPct val="90000"/>
            </a:lnSpc>
            <a:spcBef>
              <a:spcPct val="0"/>
            </a:spcBef>
            <a:spcAft>
              <a:spcPct val="15000"/>
            </a:spcAft>
            <a:buNone/>
          </a:pPr>
          <a:r>
            <a:rPr lang="es-CU" sz="1200" kern="1200">
              <a:latin typeface="Times New Roman" panose="02020603050405020304" pitchFamily="18" charset="0"/>
              <a:cs typeface="Times New Roman" panose="02020603050405020304" pitchFamily="18" charset="0"/>
            </a:rPr>
            <a:t>Palabras clave: </a:t>
          </a:r>
          <a:r>
            <a:rPr lang="es-CU" sz="1200" i="0" kern="1200">
              <a:latin typeface="Times New Roman" panose="02020603050405020304" pitchFamily="18" charset="0"/>
              <a:cs typeface="Times New Roman" panose="02020603050405020304" pitchFamily="18" charset="0"/>
            </a:rPr>
            <a:t>sesgo algorítmico, ética de la IA, métricas de equidad, regulación de la IA, mitigación del sesgo </a:t>
          </a:r>
          <a:endParaRPr lang="es-C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None/>
          </a:pPr>
          <a:r>
            <a:rPr lang="es-CU" sz="1200" kern="1200">
              <a:latin typeface="Times New Roman" panose="02020603050405020304" pitchFamily="18" charset="0"/>
              <a:cs typeface="Times New Roman" panose="02020603050405020304" pitchFamily="18" charset="0"/>
            </a:rPr>
            <a:t>Filtros: artículos en inglés/español (2018-2022)</a:t>
          </a:r>
        </a:p>
      </dsp:txBody>
      <dsp:txXfrm rot="-5400000">
        <a:off x="983225" y="48710"/>
        <a:ext cx="4565263" cy="824290"/>
      </dsp:txXfrm>
    </dsp:sp>
    <dsp:sp modelId="{BCF27914-48A6-4ADC-B0B3-75990F49F87C}">
      <dsp:nvSpPr>
        <dsp:cNvPr id="0" name=""/>
        <dsp:cNvSpPr/>
      </dsp:nvSpPr>
      <dsp:spPr>
        <a:xfrm rot="5400000">
          <a:off x="-210690" y="1422912"/>
          <a:ext cx="1404606" cy="98322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U" sz="1200" b="1" kern="1200"/>
            <a:t>Screening y selección inicial</a:t>
          </a:r>
          <a:endParaRPr lang="es-CU" sz="1200" kern="1200">
            <a:latin typeface="Times New Roman" panose="02020603050405020304" pitchFamily="18" charset="0"/>
            <a:cs typeface="Times New Roman" panose="02020603050405020304" pitchFamily="18" charset="0"/>
          </a:endParaRPr>
        </a:p>
      </dsp:txBody>
      <dsp:txXfrm rot="-5400000">
        <a:off x="1" y="1703833"/>
        <a:ext cx="983224" cy="421382"/>
      </dsp:txXfrm>
    </dsp:sp>
    <dsp:sp modelId="{89874D1E-21D9-4A14-821A-AEA79BCE26B6}">
      <dsp:nvSpPr>
        <dsp:cNvPr id="0" name=""/>
        <dsp:cNvSpPr/>
      </dsp:nvSpPr>
      <dsp:spPr>
        <a:xfrm rot="5400000">
          <a:off x="2831655" y="-636208"/>
          <a:ext cx="912994" cy="460985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None/>
          </a:pPr>
          <a:r>
            <a:rPr lang="es-CU" sz="1200" kern="1200">
              <a:latin typeface="Times New Roman" panose="02020603050405020304" pitchFamily="18" charset="0"/>
              <a:cs typeface="Times New Roman" panose="02020603050405020304" pitchFamily="18" charset="0"/>
            </a:rPr>
            <a:t>Eliminación de duplicados mediante herramientas bibliométricas </a:t>
          </a:r>
        </a:p>
        <a:p>
          <a:pPr marL="114300" lvl="1" indent="-114300" algn="l" defTabSz="533400">
            <a:lnSpc>
              <a:spcPct val="90000"/>
            </a:lnSpc>
            <a:spcBef>
              <a:spcPct val="0"/>
            </a:spcBef>
            <a:spcAft>
              <a:spcPct val="15000"/>
            </a:spcAft>
            <a:buSzPts val="1000"/>
            <a:buFont typeface="Courier New" panose="02070309020205020404" pitchFamily="49" charset="0"/>
            <a:buNone/>
          </a:pPr>
          <a:r>
            <a:rPr lang="es-CU" sz="1200" kern="1200">
              <a:latin typeface="Times New Roman" panose="02020603050405020304" pitchFamily="18" charset="0"/>
              <a:cs typeface="Times New Roman" panose="02020603050405020304" pitchFamily="18" charset="0"/>
            </a:rPr>
            <a:t>Evaluación de títulos y resúmenes con criterios de inclusión/exclusión </a:t>
          </a:r>
        </a:p>
        <a:p>
          <a:pPr marL="114300" lvl="1" indent="-114300" algn="l" defTabSz="533400">
            <a:lnSpc>
              <a:spcPct val="90000"/>
            </a:lnSpc>
            <a:spcBef>
              <a:spcPct val="0"/>
            </a:spcBef>
            <a:spcAft>
              <a:spcPct val="15000"/>
            </a:spcAft>
            <a:buNone/>
          </a:pPr>
          <a:r>
            <a:rPr lang="es-CU" sz="1200" kern="1200">
              <a:latin typeface="Times New Roman" panose="02020603050405020304" pitchFamily="18" charset="0"/>
              <a:cs typeface="Times New Roman" panose="02020603050405020304" pitchFamily="18" charset="0"/>
            </a:rPr>
            <a:t>Selección de artículos relevantes</a:t>
          </a:r>
        </a:p>
      </dsp:txBody>
      <dsp:txXfrm rot="-5400000">
        <a:off x="983225" y="1256791"/>
        <a:ext cx="4565286" cy="823856"/>
      </dsp:txXfrm>
    </dsp:sp>
    <dsp:sp modelId="{68D987CF-6289-4873-A260-6D90858F2276}">
      <dsp:nvSpPr>
        <dsp:cNvPr id="0" name=""/>
        <dsp:cNvSpPr/>
      </dsp:nvSpPr>
      <dsp:spPr>
        <a:xfrm rot="5400000">
          <a:off x="-210690" y="2631016"/>
          <a:ext cx="1404606" cy="98322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U" sz="1200" b="1" kern="1200"/>
            <a:t>Análisis en profundidad</a:t>
          </a:r>
          <a:endParaRPr lang="es-CU" sz="1200" kern="1200">
            <a:latin typeface="Times New Roman" panose="02020603050405020304" pitchFamily="18" charset="0"/>
            <a:cs typeface="Times New Roman" panose="02020603050405020304" pitchFamily="18" charset="0"/>
          </a:endParaRPr>
        </a:p>
      </dsp:txBody>
      <dsp:txXfrm rot="-5400000">
        <a:off x="1" y="2911937"/>
        <a:ext cx="983224" cy="421382"/>
      </dsp:txXfrm>
    </dsp:sp>
    <dsp:sp modelId="{AC482580-B4C0-4FCF-8DB9-E0FC75DD5266}">
      <dsp:nvSpPr>
        <dsp:cNvPr id="0" name=""/>
        <dsp:cNvSpPr/>
      </dsp:nvSpPr>
      <dsp:spPr>
        <a:xfrm rot="5400000">
          <a:off x="2831655" y="571894"/>
          <a:ext cx="912994" cy="460985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None/>
          </a:pPr>
          <a:r>
            <a:rPr lang="es-CU" sz="1200" kern="1200">
              <a:latin typeface="Times New Roman" panose="02020603050405020304" pitchFamily="18" charset="0"/>
              <a:cs typeface="Times New Roman" panose="02020603050405020304" pitchFamily="18" charset="0"/>
            </a:rPr>
            <a:t>Clasificación temática en 4 ejes</a:t>
          </a:r>
        </a:p>
        <a:p>
          <a:pPr marL="114300" lvl="1" indent="-114300" algn="l" defTabSz="533400">
            <a:lnSpc>
              <a:spcPct val="90000"/>
            </a:lnSpc>
            <a:spcBef>
              <a:spcPct val="0"/>
            </a:spcBef>
            <a:spcAft>
              <a:spcPct val="15000"/>
            </a:spcAft>
            <a:buNone/>
          </a:pPr>
          <a:r>
            <a:rPr lang="es-CU" sz="1200" kern="1200">
              <a:latin typeface="Times New Roman" panose="02020603050405020304" pitchFamily="18" charset="0"/>
              <a:cs typeface="Times New Roman" panose="02020603050405020304" pitchFamily="18" charset="0"/>
            </a:rPr>
            <a:t>Extracción de hallazgos clave mediante análisis de contenido cualitativo</a:t>
          </a:r>
        </a:p>
      </dsp:txBody>
      <dsp:txXfrm rot="-5400000">
        <a:off x="983225" y="2464894"/>
        <a:ext cx="4565286" cy="8238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6041CD-0B42-45E5-A64C-520795F4E412}">
      <dsp:nvSpPr>
        <dsp:cNvPr id="0" name=""/>
        <dsp:cNvSpPr/>
      </dsp:nvSpPr>
      <dsp:spPr>
        <a:xfrm>
          <a:off x="2279622" y="0"/>
          <a:ext cx="1283698" cy="1283893"/>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C394D1-478B-4731-90DF-0A611A0B6E2E}">
      <dsp:nvSpPr>
        <dsp:cNvPr id="0" name=""/>
        <dsp:cNvSpPr/>
      </dsp:nvSpPr>
      <dsp:spPr>
        <a:xfrm>
          <a:off x="2563361" y="463524"/>
          <a:ext cx="713326" cy="3565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U" sz="1200" kern="1200">
              <a:latin typeface="Times New Roman" panose="02020603050405020304" pitchFamily="18" charset="0"/>
              <a:cs typeface="Times New Roman" panose="02020603050405020304" pitchFamily="18" charset="0"/>
            </a:rPr>
            <a:t>estadísticas</a:t>
          </a:r>
        </a:p>
      </dsp:txBody>
      <dsp:txXfrm>
        <a:off x="2563361" y="463524"/>
        <a:ext cx="713326" cy="356577"/>
      </dsp:txXfrm>
    </dsp:sp>
    <dsp:sp modelId="{DA72327F-489C-477E-9A89-5AF67638F704}">
      <dsp:nvSpPr>
        <dsp:cNvPr id="0" name=""/>
        <dsp:cNvSpPr/>
      </dsp:nvSpPr>
      <dsp:spPr>
        <a:xfrm>
          <a:off x="1923079" y="737692"/>
          <a:ext cx="1283698" cy="1283893"/>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250D9F-1D76-407E-B86E-C83EDADCEFAF}">
      <dsp:nvSpPr>
        <dsp:cNvPr id="0" name=""/>
        <dsp:cNvSpPr/>
      </dsp:nvSpPr>
      <dsp:spPr>
        <a:xfrm>
          <a:off x="2208265" y="1205484"/>
          <a:ext cx="713326" cy="3565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U" sz="1200" kern="1200">
              <a:latin typeface="Times New Roman" panose="02020603050405020304" pitchFamily="18" charset="0"/>
              <a:cs typeface="Times New Roman" panose="02020603050405020304" pitchFamily="18" charset="0"/>
            </a:rPr>
            <a:t>basadas en modelos</a:t>
          </a:r>
        </a:p>
      </dsp:txBody>
      <dsp:txXfrm>
        <a:off x="2208265" y="1205484"/>
        <a:ext cx="713326" cy="356577"/>
      </dsp:txXfrm>
    </dsp:sp>
    <dsp:sp modelId="{655BCF71-7C37-4957-B456-D0402135E38F}">
      <dsp:nvSpPr>
        <dsp:cNvPr id="0" name=""/>
        <dsp:cNvSpPr/>
      </dsp:nvSpPr>
      <dsp:spPr>
        <a:xfrm>
          <a:off x="2370987" y="1563662"/>
          <a:ext cx="1102895" cy="1103337"/>
        </a:xfrm>
        <a:prstGeom prst="blockArc">
          <a:avLst>
            <a:gd name="adj1" fmla="val 13500000"/>
            <a:gd name="adj2" fmla="val 10800000"/>
            <a:gd name="adj3" fmla="val 1274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5203EB-7E45-44B9-BD76-FA4F3B92873A}">
      <dsp:nvSpPr>
        <dsp:cNvPr id="0" name=""/>
        <dsp:cNvSpPr/>
      </dsp:nvSpPr>
      <dsp:spPr>
        <a:xfrm>
          <a:off x="2565049" y="1948510"/>
          <a:ext cx="713326" cy="3565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CU" sz="1200" kern="1200">
              <a:latin typeface="Times New Roman" panose="02020603050405020304" pitchFamily="18" charset="0"/>
              <a:cs typeface="Times New Roman" panose="02020603050405020304" pitchFamily="18" charset="0"/>
            </a:rPr>
            <a:t>centradas en datos</a:t>
          </a:r>
        </a:p>
      </dsp:txBody>
      <dsp:txXfrm>
        <a:off x="2565049" y="1948510"/>
        <a:ext cx="713326" cy="3565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8532-7EDC-4A6E-9B49-C9FFC917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17</Pages>
  <Words>5896</Words>
  <Characters>32432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CARLOS ALBERTO GÓMEZ CANO</cp:lastModifiedBy>
  <cp:revision>28</cp:revision>
  <dcterms:created xsi:type="dcterms:W3CDTF">2025-05-13T21:04:00Z</dcterms:created>
  <dcterms:modified xsi:type="dcterms:W3CDTF">2025-06-29T16:46:00Z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ee142f3e-1e31-40ec-b2ff-14b03c1f2d00</vt:lpwstr>
  </property>
</Properties>
</file>